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DC0F16" w14:textId="77777777" w:rsidR="005F1074" w:rsidRPr="003B4715" w:rsidRDefault="00000000">
      <w:pPr>
        <w:spacing w:after="120"/>
        <w:jc w:val="center"/>
        <w:rPr>
          <w:lang w:val="de-DE"/>
        </w:rPr>
      </w:pPr>
      <w:r w:rsidRPr="003B4715">
        <w:rPr>
          <w:rFonts w:ascii="Poppins" w:eastAsia="Poppins" w:hAnsi="Poppins" w:cs="Poppins"/>
          <w:b/>
          <w:bCs/>
          <w:color w:val="7B1013"/>
          <w:sz w:val="44"/>
          <w:szCs w:val="44"/>
          <w:lang w:val="de-DE"/>
        </w:rPr>
        <w:t>Muster-Arbeitsvertrag</w:t>
      </w:r>
    </w:p>
    <w:p w14:paraId="613B9AED" w14:textId="17587FB6" w:rsidR="005F1074" w:rsidRPr="003B4715" w:rsidRDefault="00000000">
      <w:pPr>
        <w:spacing w:after="300"/>
        <w:jc w:val="center"/>
        <w:rPr>
          <w:lang w:val="de-DE"/>
        </w:rPr>
      </w:pPr>
      <w:r w:rsidRPr="003B4715">
        <w:rPr>
          <w:rFonts w:ascii="Poppins" w:eastAsia="Poppins" w:hAnsi="Poppins" w:cs="Poppins"/>
          <w:i/>
          <w:iCs/>
          <w:color w:val="8C8580"/>
          <w:sz w:val="24"/>
          <w:szCs w:val="24"/>
          <w:lang w:val="de-DE"/>
        </w:rPr>
        <w:t xml:space="preserve">Kostenlose Vorlage für kleine und mittlere Unternehmen – mit Erläuterungen von Schmidt </w:t>
      </w:r>
      <w:proofErr w:type="spellStart"/>
      <w:r w:rsidRPr="003B4715">
        <w:rPr>
          <w:rFonts w:ascii="Poppins" w:eastAsia="Poppins" w:hAnsi="Poppins" w:cs="Poppins"/>
          <w:i/>
          <w:iCs/>
          <w:color w:val="8C8580"/>
          <w:sz w:val="24"/>
          <w:szCs w:val="24"/>
          <w:lang w:val="de-DE"/>
        </w:rPr>
        <w:t>partners</w:t>
      </w:r>
      <w:proofErr w:type="spellEnd"/>
      <w:r w:rsidR="003B4715">
        <w:rPr>
          <w:rFonts w:ascii="Poppins" w:eastAsia="Poppins" w:hAnsi="Poppins" w:cs="Poppins"/>
          <w:i/>
          <w:iCs/>
          <w:color w:val="8C8580"/>
          <w:sz w:val="24"/>
          <w:szCs w:val="24"/>
          <w:lang w:val="de-D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80"/>
      </w:tblGrid>
      <w:tr w:rsidR="005F1074" w:rsidRPr="003B4715" w14:paraId="333155ED" w14:textId="77777777">
        <w:tblPrEx>
          <w:tblCellMar>
            <w:top w:w="0" w:type="dxa"/>
            <w:bottom w:w="0" w:type="dxa"/>
          </w:tblCellMar>
        </w:tblPrEx>
        <w:tc>
          <w:tcPr>
            <w:tcW w:w="0" w:type="auto"/>
            <w:tcBorders>
              <w:top w:val="single" w:sz="10" w:space="0" w:color="E0A9A9"/>
              <w:left w:val="single" w:sz="10" w:space="0" w:color="E0A9A9"/>
              <w:bottom w:val="single" w:sz="10" w:space="0" w:color="E0A9A9"/>
              <w:right w:val="single" w:sz="10" w:space="0" w:color="E0A9A9"/>
            </w:tcBorders>
            <w:shd w:val="clear" w:color="auto" w:fill="F7E8E6"/>
            <w:tcMar>
              <w:top w:w="180" w:type="dxa"/>
              <w:left w:w="220" w:type="dxa"/>
              <w:bottom w:w="180" w:type="dxa"/>
              <w:right w:w="220" w:type="dxa"/>
            </w:tcMar>
          </w:tcPr>
          <w:p w14:paraId="46B3716E" w14:textId="77777777" w:rsidR="005F1074" w:rsidRDefault="00000000">
            <w:pPr>
              <w:spacing w:after="100"/>
            </w:pPr>
            <w:r>
              <w:rPr>
                <w:rFonts w:ascii="Poppins" w:eastAsia="Poppins" w:hAnsi="Poppins" w:cs="Poppins"/>
                <w:b/>
                <w:bCs/>
                <w:color w:val="B01B1B"/>
                <w:sz w:val="22"/>
                <w:szCs w:val="22"/>
              </w:rPr>
              <w:t>WICHTIGER HINWEIS</w:t>
            </w:r>
          </w:p>
          <w:p w14:paraId="6D13620C" w14:textId="77777777" w:rsidR="005F1074" w:rsidRPr="003B4715" w:rsidRDefault="00000000">
            <w:pPr>
              <w:spacing w:after="100"/>
              <w:jc w:val="both"/>
              <w:rPr>
                <w:lang w:val="de-DE"/>
              </w:rPr>
            </w:pPr>
            <w:r w:rsidRPr="003B4715">
              <w:rPr>
                <w:rFonts w:ascii="Poppins" w:eastAsia="Poppins" w:hAnsi="Poppins" w:cs="Poppins"/>
                <w:lang w:val="de-DE"/>
              </w:rPr>
              <w:t xml:space="preserve">Dieses Dokument ist ein unverbindliches Muster und dient ausschließlich zu Informationszwecken. Es stellt keine Rechtsberatung dar und begründet kein Mandatsverhältnis mit Schmidt </w:t>
            </w:r>
            <w:proofErr w:type="spellStart"/>
            <w:r w:rsidRPr="003B4715">
              <w:rPr>
                <w:rFonts w:ascii="Poppins" w:eastAsia="Poppins" w:hAnsi="Poppins" w:cs="Poppins"/>
                <w:lang w:val="de-DE"/>
              </w:rPr>
              <w:t>partners</w:t>
            </w:r>
            <w:proofErr w:type="spellEnd"/>
            <w:r w:rsidRPr="003B4715">
              <w:rPr>
                <w:rFonts w:ascii="Poppins" w:eastAsia="Poppins" w:hAnsi="Poppins" w:cs="Poppins"/>
                <w:lang w:val="de-DE"/>
              </w:rPr>
              <w:t xml:space="preserve"> Rechtsanwalts-GmbH. Die Nutzung erfolgt auf eigenes Risiko; Schmidt </w:t>
            </w:r>
            <w:proofErr w:type="spellStart"/>
            <w:r w:rsidRPr="003B4715">
              <w:rPr>
                <w:rFonts w:ascii="Poppins" w:eastAsia="Poppins" w:hAnsi="Poppins" w:cs="Poppins"/>
                <w:lang w:val="de-DE"/>
              </w:rPr>
              <w:t>partners</w:t>
            </w:r>
            <w:proofErr w:type="spellEnd"/>
            <w:r w:rsidRPr="003B4715">
              <w:rPr>
                <w:rFonts w:ascii="Poppins" w:eastAsia="Poppins" w:hAnsi="Poppins" w:cs="Poppins"/>
                <w:lang w:val="de-DE"/>
              </w:rPr>
              <w:t xml:space="preserve"> übernimmt keine Haftung für Vollständigkeit, Aktualität oder rechtliche Wirksamkeit einzelner Klauseln im konkreten Anwendungsfall. Arbeitsverträge sollten stets an die individuelle Situation Ihres Unternehmens angepasst und im Zweifel rechtlich geprüft werden.</w:t>
            </w:r>
          </w:p>
          <w:p w14:paraId="1BA56571" w14:textId="77777777" w:rsidR="005F1074" w:rsidRPr="003B4715" w:rsidRDefault="00000000">
            <w:pPr>
              <w:jc w:val="both"/>
              <w:rPr>
                <w:lang w:val="de-DE"/>
              </w:rPr>
            </w:pPr>
            <w:r w:rsidRPr="003B4715">
              <w:rPr>
                <w:rFonts w:ascii="Poppins" w:eastAsia="Poppins" w:hAnsi="Poppins" w:cs="Poppins"/>
                <w:lang w:val="de-DE"/>
              </w:rPr>
              <w:t xml:space="preserve">Für eine maßgeschneiderte Vertragsgestaltung, eine Prüfung im Einzelfall oder allgemeine Fragen zum Arbeitsrecht kontaktieren Sie uns gerne über </w:t>
            </w:r>
            <w:r w:rsidRPr="003B4715">
              <w:rPr>
                <w:rFonts w:ascii="Poppins" w:eastAsia="Poppins" w:hAnsi="Poppins" w:cs="Poppins"/>
                <w:b/>
                <w:bCs/>
                <w:color w:val="7B1013"/>
                <w:lang w:val="de-DE"/>
              </w:rPr>
              <w:t>schmidt-partners.com</w:t>
            </w:r>
            <w:r w:rsidRPr="003B4715">
              <w:rPr>
                <w:rFonts w:ascii="Poppins" w:eastAsia="Poppins" w:hAnsi="Poppins" w:cs="Poppins"/>
                <w:lang w:val="de-DE"/>
              </w:rPr>
              <w:t>.</w:t>
            </w:r>
          </w:p>
        </w:tc>
      </w:tr>
    </w:tbl>
    <w:p w14:paraId="06BA2F95" w14:textId="77777777" w:rsidR="005F1074" w:rsidRPr="003B4715" w:rsidRDefault="005F1074">
      <w:pPr>
        <w:spacing w:after="200"/>
        <w:rPr>
          <w:lang w:val="de-DE"/>
        </w:rPr>
      </w:pPr>
    </w:p>
    <w:p w14:paraId="2FC0095F" w14:textId="77777777" w:rsidR="005F1074" w:rsidRPr="003B4715" w:rsidRDefault="00000000">
      <w:pPr>
        <w:spacing w:before="100" w:after="140"/>
        <w:rPr>
          <w:lang w:val="de-DE"/>
        </w:rPr>
      </w:pPr>
      <w:r w:rsidRPr="003B4715">
        <w:rPr>
          <w:rFonts w:ascii="Poppins" w:eastAsia="Poppins" w:hAnsi="Poppins" w:cs="Poppins"/>
          <w:b/>
          <w:bCs/>
          <w:color w:val="7B1013"/>
          <w:sz w:val="26"/>
          <w:szCs w:val="26"/>
          <w:lang w:val="de-DE"/>
        </w:rPr>
        <w:t>So nutzen Sie diese Vorlage</w:t>
      </w:r>
    </w:p>
    <w:p w14:paraId="75345BB9" w14:textId="77777777" w:rsidR="005F1074" w:rsidRPr="003B4715" w:rsidRDefault="00000000">
      <w:pPr>
        <w:spacing w:after="100"/>
        <w:jc w:val="both"/>
        <w:rPr>
          <w:lang w:val="de-DE"/>
        </w:rPr>
      </w:pPr>
      <w:r w:rsidRPr="003B4715">
        <w:rPr>
          <w:rFonts w:ascii="Poppins" w:eastAsia="Poppins" w:hAnsi="Poppins" w:cs="Poppins"/>
          <w:color w:val="28221E"/>
          <w:sz w:val="21"/>
          <w:szCs w:val="21"/>
          <w:lang w:val="de-DE"/>
        </w:rPr>
        <w:t xml:space="preserve">•  Felder in eckigen Klammern, z. B. </w:t>
      </w:r>
      <w:r w:rsidRPr="003B4715">
        <w:rPr>
          <w:rFonts w:ascii="Poppins" w:eastAsia="Poppins" w:hAnsi="Poppins" w:cs="Poppins"/>
          <w:b/>
          <w:bCs/>
          <w:color w:val="B01B1B"/>
          <w:sz w:val="21"/>
          <w:szCs w:val="21"/>
          <w:lang w:val="de-DE"/>
        </w:rPr>
        <w:t>[Firmenname]</w:t>
      </w:r>
      <w:r w:rsidRPr="003B4715">
        <w:rPr>
          <w:rFonts w:ascii="Poppins" w:eastAsia="Poppins" w:hAnsi="Poppins" w:cs="Poppins"/>
          <w:color w:val="28221E"/>
          <w:sz w:val="21"/>
          <w:szCs w:val="21"/>
          <w:lang w:val="de-DE"/>
        </w:rPr>
        <w:t>, ersetzen Sie durch Ihre individuellen Angaben.</w:t>
      </w:r>
    </w:p>
    <w:p w14:paraId="74AFBCB8" w14:textId="77777777" w:rsidR="005F1074" w:rsidRPr="003B4715" w:rsidRDefault="00000000">
      <w:pPr>
        <w:spacing w:after="100"/>
        <w:jc w:val="both"/>
        <w:rPr>
          <w:lang w:val="de-DE"/>
        </w:rPr>
      </w:pPr>
      <w:r w:rsidRPr="003B4715">
        <w:rPr>
          <w:rFonts w:ascii="Poppins" w:eastAsia="Poppins" w:hAnsi="Poppins" w:cs="Poppins"/>
          <w:color w:val="28221E"/>
          <w:sz w:val="21"/>
          <w:szCs w:val="21"/>
          <w:lang w:val="de-DE"/>
        </w:rPr>
        <w:t>•  Abschnitte mit dem Zusatz „(Optional / anpassbar)“ sind gesetzlich nicht zwingend vorgeschrieben. Sie können sie streichen, anpassen oder unverändert übernehmen – je nachdem, was zu Ihrem Unternehmen passt.</w:t>
      </w:r>
    </w:p>
    <w:p w14:paraId="14E7CA12" w14:textId="77777777" w:rsidR="005F1074" w:rsidRPr="003B4715" w:rsidRDefault="00000000">
      <w:pPr>
        <w:spacing w:after="100"/>
        <w:jc w:val="both"/>
        <w:rPr>
          <w:lang w:val="de-DE"/>
        </w:rPr>
      </w:pPr>
      <w:r w:rsidRPr="003B4715">
        <w:rPr>
          <w:rFonts w:ascii="Poppins" w:eastAsia="Poppins" w:hAnsi="Poppins" w:cs="Poppins"/>
          <w:color w:val="28221E"/>
          <w:sz w:val="21"/>
          <w:szCs w:val="21"/>
          <w:lang w:val="de-DE"/>
        </w:rPr>
        <w:t>•  Unter jedem Abschnitt finden Sie in einem grauen Kasten eine kurze Erklärung, wozu die jeweilige Klausel dient.</w:t>
      </w:r>
    </w:p>
    <w:p w14:paraId="1B3FC552" w14:textId="77777777" w:rsidR="005F1074" w:rsidRPr="003B4715" w:rsidRDefault="00000000">
      <w:pPr>
        <w:spacing w:after="100"/>
        <w:jc w:val="both"/>
        <w:rPr>
          <w:lang w:val="de-DE"/>
        </w:rPr>
      </w:pPr>
      <w:r w:rsidRPr="003B4715">
        <w:rPr>
          <w:rFonts w:ascii="Poppins" w:eastAsia="Poppins" w:hAnsi="Poppins" w:cs="Poppins"/>
          <w:color w:val="28221E"/>
          <w:sz w:val="21"/>
          <w:szCs w:val="21"/>
          <w:lang w:val="de-DE"/>
        </w:rPr>
        <w:t>•  Diese Vorlage bildet einen typischen Fall ab: ein unbefristetes Vollzeit-Arbeitsverhältnis für eine kaufmännische oder administrative Tätigkeit. Für Sonderfälle wie Minijobs, Werkstudierende, Auszubildende, Führungskräfte oder Vertriebsrollen mit Provisionsregelungen gelten abweichende Anforderungen.</w:t>
      </w:r>
    </w:p>
    <w:p w14:paraId="788197C7" w14:textId="77777777" w:rsidR="005F1074" w:rsidRPr="003B4715" w:rsidRDefault="00000000">
      <w:pPr>
        <w:rPr>
          <w:lang w:val="de-DE"/>
        </w:rPr>
      </w:pPr>
      <w:r w:rsidRPr="003B4715">
        <w:rPr>
          <w:lang w:val="de-DE"/>
        </w:rPr>
        <w:br w:type="page"/>
      </w:r>
    </w:p>
    <w:p w14:paraId="1EA8A7F4"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lastRenderedPageBreak/>
        <w:t>Die Parteien</w:t>
      </w:r>
    </w:p>
    <w:p w14:paraId="473FFC74"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Zwischen</w:t>
      </w:r>
    </w:p>
    <w:p w14:paraId="7CC4CC8C" w14:textId="77777777" w:rsidR="005F1074" w:rsidRPr="003B4715" w:rsidRDefault="00000000">
      <w:pPr>
        <w:spacing w:after="140"/>
        <w:jc w:val="both"/>
        <w:rPr>
          <w:lang w:val="de-DE"/>
        </w:rPr>
      </w:pPr>
      <w:r w:rsidRPr="003B4715">
        <w:rPr>
          <w:rFonts w:ascii="Poppins" w:eastAsia="Poppins" w:hAnsi="Poppins" w:cs="Poppins"/>
          <w:b/>
          <w:bCs/>
          <w:color w:val="B01B1B"/>
          <w:sz w:val="21"/>
          <w:szCs w:val="21"/>
          <w:lang w:val="de-DE"/>
        </w:rPr>
        <w:t>[Name des Unternehmens]</w:t>
      </w:r>
    </w:p>
    <w:p w14:paraId="24E811F8" w14:textId="77777777" w:rsidR="005F1074" w:rsidRPr="003B4715" w:rsidRDefault="00000000">
      <w:pPr>
        <w:spacing w:after="140"/>
        <w:jc w:val="both"/>
        <w:rPr>
          <w:lang w:val="de-DE"/>
        </w:rPr>
      </w:pPr>
      <w:r w:rsidRPr="003B4715">
        <w:rPr>
          <w:rFonts w:ascii="Poppins" w:eastAsia="Poppins" w:hAnsi="Poppins" w:cs="Poppins"/>
          <w:b/>
          <w:bCs/>
          <w:color w:val="B01B1B"/>
          <w:sz w:val="21"/>
          <w:szCs w:val="21"/>
          <w:lang w:val="de-DE"/>
        </w:rPr>
        <w:t>[Adresse des Unternehmens]</w:t>
      </w:r>
    </w:p>
    <w:p w14:paraId="76061B5A"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im Folgenden „Arbeitgeberin“ –</w:t>
      </w:r>
    </w:p>
    <w:p w14:paraId="635437BD"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und</w:t>
      </w:r>
    </w:p>
    <w:p w14:paraId="30EB4B04" w14:textId="77777777" w:rsidR="005F1074" w:rsidRPr="003B4715" w:rsidRDefault="00000000">
      <w:pPr>
        <w:spacing w:after="140"/>
        <w:jc w:val="both"/>
        <w:rPr>
          <w:lang w:val="de-DE"/>
        </w:rPr>
      </w:pPr>
      <w:r w:rsidRPr="003B4715">
        <w:rPr>
          <w:rFonts w:ascii="Poppins" w:eastAsia="Poppins" w:hAnsi="Poppins" w:cs="Poppins"/>
          <w:b/>
          <w:bCs/>
          <w:color w:val="B01B1B"/>
          <w:sz w:val="21"/>
          <w:szCs w:val="21"/>
          <w:lang w:val="de-DE"/>
        </w:rPr>
        <w:t>[Name des Arbeitnehmers / der Arbeitnehmerin]</w:t>
      </w:r>
    </w:p>
    <w:p w14:paraId="4DA9ADDF" w14:textId="77777777" w:rsidR="005F1074" w:rsidRPr="003B4715" w:rsidRDefault="00000000">
      <w:pPr>
        <w:spacing w:after="140"/>
        <w:jc w:val="both"/>
        <w:rPr>
          <w:lang w:val="de-DE"/>
        </w:rPr>
      </w:pPr>
      <w:r w:rsidRPr="003B4715">
        <w:rPr>
          <w:rFonts w:ascii="Poppins" w:eastAsia="Poppins" w:hAnsi="Poppins" w:cs="Poppins"/>
          <w:b/>
          <w:bCs/>
          <w:color w:val="B01B1B"/>
          <w:sz w:val="21"/>
          <w:szCs w:val="21"/>
          <w:lang w:val="de-DE"/>
        </w:rPr>
        <w:t>[Adresse des Arbeitnehmers / der Arbeitnehmerin]</w:t>
      </w:r>
    </w:p>
    <w:p w14:paraId="0180208D"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im Folgenden „Arbeitnehmer“ –</w:t>
      </w:r>
    </w:p>
    <w:p w14:paraId="2B6D8137"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wird nachfolgender Arbeitsvertrag geschlossen (unter Hinweis auf die Ausschlussfristen gemäß § 13 dieses Vertrags):</w:t>
      </w:r>
    </w:p>
    <w:p w14:paraId="2302D31B"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48A996B6"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3E6973A9" w14:textId="0A0D1E22" w:rsidR="005F1074" w:rsidRPr="003B4715" w:rsidRDefault="00000000">
            <w:pPr>
              <w:spacing w:after="60"/>
              <w:rPr>
                <w:lang w:val="de-DE"/>
              </w:rPr>
            </w:pPr>
            <w:r w:rsidRPr="003B4715">
              <w:rPr>
                <w:rFonts w:ascii="Poppins" w:eastAsia="Poppins" w:hAnsi="Poppins" w:cs="Poppins"/>
                <w:b/>
                <w:bCs/>
                <w:color w:val="7B1013"/>
                <w:lang w:val="de-DE"/>
              </w:rPr>
              <w:t xml:space="preserve"> Warum ist das wichtig?</w:t>
            </w:r>
          </w:p>
          <w:p w14:paraId="6E86E91B" w14:textId="77777777" w:rsidR="005F1074" w:rsidRPr="003B4715" w:rsidRDefault="00000000">
            <w:pPr>
              <w:jc w:val="both"/>
              <w:rPr>
                <w:lang w:val="de-DE"/>
              </w:rPr>
            </w:pPr>
            <w:r w:rsidRPr="003B4715">
              <w:rPr>
                <w:rFonts w:ascii="Poppins" w:eastAsia="Poppins" w:hAnsi="Poppins" w:cs="Poppins"/>
                <w:i/>
                <w:iCs/>
                <w:color w:val="28221E"/>
                <w:lang w:val="de-DE"/>
              </w:rPr>
              <w:t>Jeder Arbeitsvertrag muss eindeutig festhalten, wer sich vertraglich bindet. Vollständige Namen und Adressen beider Seiten sind Pflichtangaben – ohne sie ist im Streitfall unklar, wer welche Rechte und Pflichten hat.</w:t>
            </w:r>
          </w:p>
        </w:tc>
      </w:tr>
    </w:tbl>
    <w:p w14:paraId="2D079F28" w14:textId="77777777" w:rsidR="005F1074" w:rsidRPr="003B4715" w:rsidRDefault="005F1074">
      <w:pPr>
        <w:spacing w:after="200"/>
        <w:rPr>
          <w:lang w:val="de-DE"/>
        </w:rPr>
      </w:pPr>
    </w:p>
    <w:p w14:paraId="18718F9C"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1 Aufgabengebiet und Arbeitsort</w:t>
      </w:r>
    </w:p>
    <w:p w14:paraId="579F117D"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(1) Der Arbeitnehmer wird als </w:t>
      </w:r>
      <w:r w:rsidRPr="003B4715">
        <w:rPr>
          <w:rFonts w:ascii="Poppins" w:eastAsia="Poppins" w:hAnsi="Poppins" w:cs="Poppins"/>
          <w:b/>
          <w:bCs/>
          <w:color w:val="B01B1B"/>
          <w:sz w:val="21"/>
          <w:szCs w:val="21"/>
          <w:lang w:val="de-DE"/>
        </w:rPr>
        <w:t xml:space="preserve">[Positionsbezeichnung, z. B. „Marketing </w:t>
      </w:r>
      <w:proofErr w:type="spellStart"/>
      <w:r w:rsidRPr="003B4715">
        <w:rPr>
          <w:rFonts w:ascii="Poppins" w:eastAsia="Poppins" w:hAnsi="Poppins" w:cs="Poppins"/>
          <w:b/>
          <w:bCs/>
          <w:color w:val="B01B1B"/>
          <w:sz w:val="21"/>
          <w:szCs w:val="21"/>
          <w:lang w:val="de-DE"/>
        </w:rPr>
        <w:t>Manager:in</w:t>
      </w:r>
      <w:proofErr w:type="spellEnd"/>
      <w:r w:rsidRPr="003B4715">
        <w:rPr>
          <w:rFonts w:ascii="Poppins" w:eastAsia="Poppins" w:hAnsi="Poppins" w:cs="Poppins"/>
          <w:b/>
          <w:bCs/>
          <w:color w:val="B01B1B"/>
          <w:sz w:val="21"/>
          <w:szCs w:val="21"/>
          <w:lang w:val="de-DE"/>
        </w:rPr>
        <w:t>“]</w:t>
      </w:r>
      <w:r w:rsidRPr="003B4715">
        <w:rPr>
          <w:rFonts w:ascii="Poppins" w:eastAsia="Poppins" w:hAnsi="Poppins" w:cs="Poppins"/>
          <w:color w:val="28221E"/>
          <w:sz w:val="21"/>
          <w:szCs w:val="21"/>
          <w:lang w:val="de-DE"/>
        </w:rPr>
        <w:t xml:space="preserve"> eingestellt.</w:t>
      </w:r>
    </w:p>
    <w:p w14:paraId="0C6EBCA2"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(2) Arbeitsort ist derzeit </w:t>
      </w:r>
      <w:r w:rsidRPr="003B4715">
        <w:rPr>
          <w:rFonts w:ascii="Poppins" w:eastAsia="Poppins" w:hAnsi="Poppins" w:cs="Poppins"/>
          <w:b/>
          <w:bCs/>
          <w:color w:val="B01B1B"/>
          <w:sz w:val="21"/>
          <w:szCs w:val="21"/>
          <w:lang w:val="de-DE"/>
        </w:rPr>
        <w:t>[Hauptarbeitsort]</w:t>
      </w:r>
      <w:r w:rsidRPr="003B4715">
        <w:rPr>
          <w:rFonts w:ascii="Poppins" w:eastAsia="Poppins" w:hAnsi="Poppins" w:cs="Poppins"/>
          <w:color w:val="28221E"/>
          <w:sz w:val="21"/>
          <w:szCs w:val="21"/>
          <w:lang w:val="de-DE"/>
        </w:rPr>
        <w:t xml:space="preserve">. Ein Einsatz des Arbeitnehmers in </w:t>
      </w:r>
      <w:r w:rsidRPr="003B4715">
        <w:rPr>
          <w:rFonts w:ascii="Poppins" w:eastAsia="Poppins" w:hAnsi="Poppins" w:cs="Poppins"/>
          <w:b/>
          <w:bCs/>
          <w:color w:val="B01B1B"/>
          <w:sz w:val="21"/>
          <w:szCs w:val="21"/>
          <w:lang w:val="de-DE"/>
        </w:rPr>
        <w:t>[ggf. weiterer Standort]</w:t>
      </w:r>
      <w:r w:rsidRPr="003B4715">
        <w:rPr>
          <w:rFonts w:ascii="Poppins" w:eastAsia="Poppins" w:hAnsi="Poppins" w:cs="Poppins"/>
          <w:color w:val="28221E"/>
          <w:sz w:val="21"/>
          <w:szCs w:val="21"/>
          <w:lang w:val="de-DE"/>
        </w:rPr>
        <w:t xml:space="preserve"> ist zulässig. Ein Einsatz an anderen Orten ist aus betrieblichen Gründen unter Wahrung der Interessen des Arbeitnehmers zulässig.</w:t>
      </w:r>
    </w:p>
    <w:p w14:paraId="0F474CA0"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(3) Der Arbeitgeber ist berechtigt, dem Arbeitnehmer aus betrieblichen Gründen unter Wahrung der Interessen des Arbeitnehmers eine andere, gleichwertige Tätigkeit oder ein anderes Arbeitsgebiet zu übertragen, soweit dies den Fähigkeiten und Kenntnissen des Arbeitnehmers entspricht.</w:t>
      </w:r>
    </w:p>
    <w:p w14:paraId="3D534B53"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48173045"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3F7D87A5" w14:textId="6F64D35A" w:rsidR="005F1074" w:rsidRPr="003B4715" w:rsidRDefault="00000000">
            <w:pPr>
              <w:spacing w:after="60"/>
              <w:rPr>
                <w:lang w:val="de-DE"/>
              </w:rPr>
            </w:pPr>
            <w:r w:rsidRPr="003B4715">
              <w:rPr>
                <w:rFonts w:ascii="Poppins" w:eastAsia="Poppins" w:hAnsi="Poppins" w:cs="Poppins"/>
                <w:b/>
                <w:bCs/>
                <w:color w:val="7B1013"/>
                <w:lang w:val="de-DE"/>
              </w:rPr>
              <w:t xml:space="preserve"> Warum ist das wichtig?</w:t>
            </w:r>
          </w:p>
          <w:p w14:paraId="4DC98C46" w14:textId="77777777" w:rsidR="005F1074" w:rsidRPr="003B4715" w:rsidRDefault="00000000">
            <w:pPr>
              <w:jc w:val="both"/>
              <w:rPr>
                <w:lang w:val="de-DE"/>
              </w:rPr>
            </w:pPr>
            <w:r w:rsidRPr="003B4715">
              <w:rPr>
                <w:rFonts w:ascii="Poppins" w:eastAsia="Poppins" w:hAnsi="Poppins" w:cs="Poppins"/>
                <w:i/>
                <w:iCs/>
                <w:color w:val="28221E"/>
                <w:lang w:val="de-DE"/>
              </w:rPr>
              <w:t>Stellenbezeichnung und Arbeitsort gehören zu den Mindestangaben, die das Nachweisgesetz für jeden Arbeitsvertrag vorschreibt. Absatz (3) gibt Ihnen als Arbeitgeber zusätzlich etwas Spielraum, Aufgaben anzupassen, ohne bei jeder kleinen Veränderung einen neuen Vertrag aufsetzen zu müssen – praktisch, wenn sich Rollen in kleineren Teams häufiger verschieben.</w:t>
            </w:r>
          </w:p>
        </w:tc>
      </w:tr>
    </w:tbl>
    <w:p w14:paraId="3CA3B4E9" w14:textId="77777777" w:rsidR="005F1074" w:rsidRPr="003B4715" w:rsidRDefault="005F1074">
      <w:pPr>
        <w:spacing w:after="200"/>
        <w:rPr>
          <w:lang w:val="de-DE"/>
        </w:rPr>
      </w:pPr>
    </w:p>
    <w:p w14:paraId="6F60336C"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2 Beginn und Probezeit</w:t>
      </w:r>
    </w:p>
    <w:p w14:paraId="58A19BD6"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lastRenderedPageBreak/>
        <w:t xml:space="preserve">(1) Das Arbeitsverhältnis beginnt am </w:t>
      </w:r>
      <w:r w:rsidRPr="003B4715">
        <w:rPr>
          <w:rFonts w:ascii="Poppins" w:eastAsia="Poppins" w:hAnsi="Poppins" w:cs="Poppins"/>
          <w:b/>
          <w:bCs/>
          <w:color w:val="B01B1B"/>
          <w:sz w:val="21"/>
          <w:szCs w:val="21"/>
          <w:lang w:val="de-DE"/>
        </w:rPr>
        <w:t>[Startdatum]</w:t>
      </w:r>
      <w:r w:rsidRPr="003B4715">
        <w:rPr>
          <w:rFonts w:ascii="Poppins" w:eastAsia="Poppins" w:hAnsi="Poppins" w:cs="Poppins"/>
          <w:color w:val="28221E"/>
          <w:sz w:val="21"/>
          <w:szCs w:val="21"/>
          <w:lang w:val="de-DE"/>
        </w:rPr>
        <w:t>.</w:t>
      </w:r>
    </w:p>
    <w:p w14:paraId="4AE44645"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(2) Die ersten </w:t>
      </w:r>
      <w:r w:rsidRPr="003B4715">
        <w:rPr>
          <w:rFonts w:ascii="Poppins" w:eastAsia="Poppins" w:hAnsi="Poppins" w:cs="Poppins"/>
          <w:b/>
          <w:bCs/>
          <w:color w:val="B01B1B"/>
          <w:sz w:val="21"/>
          <w:szCs w:val="21"/>
          <w:lang w:val="de-DE"/>
        </w:rPr>
        <w:t>[Dauer der Probezeit, z. B. „6 Monate“]</w:t>
      </w:r>
      <w:r w:rsidRPr="003B4715">
        <w:rPr>
          <w:rFonts w:ascii="Poppins" w:eastAsia="Poppins" w:hAnsi="Poppins" w:cs="Poppins"/>
          <w:color w:val="28221E"/>
          <w:sz w:val="21"/>
          <w:szCs w:val="21"/>
          <w:lang w:val="de-DE"/>
        </w:rPr>
        <w:t xml:space="preserve"> gelten als Probezeit. Für die Dauer der Probezeit gilt eine verkürzte Kündigungsfrist von </w:t>
      </w:r>
      <w:r w:rsidRPr="003B4715">
        <w:rPr>
          <w:rFonts w:ascii="Poppins" w:eastAsia="Poppins" w:hAnsi="Poppins" w:cs="Poppins"/>
          <w:b/>
          <w:bCs/>
          <w:color w:val="B01B1B"/>
          <w:sz w:val="21"/>
          <w:szCs w:val="21"/>
          <w:lang w:val="de-DE"/>
        </w:rPr>
        <w:t>[Kündigungsfrist während Probezeit, z. B. „2 Wochen“]</w:t>
      </w:r>
      <w:r w:rsidRPr="003B4715">
        <w:rPr>
          <w:rFonts w:ascii="Poppins" w:eastAsia="Poppins" w:hAnsi="Poppins" w:cs="Poppins"/>
          <w:color w:val="28221E"/>
          <w:sz w:val="21"/>
          <w:szCs w:val="21"/>
          <w:lang w:val="de-DE"/>
        </w:rPr>
        <w:t>.</w:t>
      </w:r>
    </w:p>
    <w:p w14:paraId="3268A3A1"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375D52E8"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735A13CE" w14:textId="28DADD34" w:rsidR="005F1074" w:rsidRPr="003B4715" w:rsidRDefault="00000000">
            <w:pPr>
              <w:spacing w:after="60"/>
              <w:rPr>
                <w:lang w:val="de-DE"/>
              </w:rPr>
            </w:pPr>
            <w:r w:rsidRPr="003B4715">
              <w:rPr>
                <w:rFonts w:ascii="Poppins" w:eastAsia="Poppins" w:hAnsi="Poppins" w:cs="Poppins"/>
                <w:b/>
                <w:bCs/>
                <w:color w:val="7B1013"/>
                <w:lang w:val="de-DE"/>
              </w:rPr>
              <w:t xml:space="preserve"> Warum ist das wichtig?</w:t>
            </w:r>
          </w:p>
          <w:p w14:paraId="61B6A824" w14:textId="77777777" w:rsidR="005F1074" w:rsidRPr="003B4715" w:rsidRDefault="00000000">
            <w:pPr>
              <w:jc w:val="both"/>
              <w:rPr>
                <w:lang w:val="de-DE"/>
              </w:rPr>
            </w:pPr>
            <w:r w:rsidRPr="003B4715">
              <w:rPr>
                <w:rFonts w:ascii="Poppins" w:eastAsia="Poppins" w:hAnsi="Poppins" w:cs="Poppins"/>
                <w:i/>
                <w:iCs/>
                <w:color w:val="28221E"/>
                <w:lang w:val="de-DE"/>
              </w:rPr>
              <w:t>Das Startdatum ist eine Pflichtangabe. Die Probezeit selbst ist gesetzlich nicht vorgeschrieben, aber weit verbreitet: Sie erlaubt beiden Seiten, sich mit einer kürzeren Frist von bis zu zwei Wochen zu trennen, falls es doch nicht passt. Wichtig: Nur wenn die Probezeit höchstens 6 Monate dauert, gilt diese kürzere Kündigungsfrist.</w:t>
            </w:r>
          </w:p>
        </w:tc>
      </w:tr>
    </w:tbl>
    <w:p w14:paraId="1242625B" w14:textId="77777777" w:rsidR="005F1074" w:rsidRPr="003B4715" w:rsidRDefault="005F1074">
      <w:pPr>
        <w:spacing w:after="200"/>
        <w:rPr>
          <w:lang w:val="de-DE"/>
        </w:rPr>
      </w:pPr>
    </w:p>
    <w:p w14:paraId="17C3E8E5"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3 Arbeitszeit</w:t>
      </w:r>
    </w:p>
    <w:p w14:paraId="51CA56A2"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(1) Die regelmäßige wöchentliche Arbeitszeit beträgt </w:t>
      </w:r>
      <w:r w:rsidRPr="003B4715">
        <w:rPr>
          <w:rFonts w:ascii="Poppins" w:eastAsia="Poppins" w:hAnsi="Poppins" w:cs="Poppins"/>
          <w:b/>
          <w:bCs/>
          <w:color w:val="B01B1B"/>
          <w:sz w:val="21"/>
          <w:szCs w:val="21"/>
          <w:lang w:val="de-DE"/>
        </w:rPr>
        <w:t>[wöchentliche Arbeitsstunden, z. B. „40“]</w:t>
      </w:r>
      <w:r w:rsidRPr="003B4715">
        <w:rPr>
          <w:rFonts w:ascii="Poppins" w:eastAsia="Poppins" w:hAnsi="Poppins" w:cs="Poppins"/>
          <w:color w:val="28221E"/>
          <w:sz w:val="21"/>
          <w:szCs w:val="21"/>
          <w:lang w:val="de-DE"/>
        </w:rPr>
        <w:t xml:space="preserve"> Stunden ausschließlich der Ruhepausen. Die Arbeitszeit verteilt sich derzeit auf </w:t>
      </w:r>
      <w:r w:rsidRPr="003B4715">
        <w:rPr>
          <w:rFonts w:ascii="Poppins" w:eastAsia="Poppins" w:hAnsi="Poppins" w:cs="Poppins"/>
          <w:b/>
          <w:bCs/>
          <w:color w:val="B01B1B"/>
          <w:sz w:val="21"/>
          <w:szCs w:val="21"/>
          <w:lang w:val="de-DE"/>
        </w:rPr>
        <w:t>[Anzahl]</w:t>
      </w:r>
      <w:r w:rsidRPr="003B4715">
        <w:rPr>
          <w:rFonts w:ascii="Poppins" w:eastAsia="Poppins" w:hAnsi="Poppins" w:cs="Poppins"/>
          <w:color w:val="28221E"/>
          <w:sz w:val="21"/>
          <w:szCs w:val="21"/>
          <w:lang w:val="de-DE"/>
        </w:rPr>
        <w:t xml:space="preserve"> Tage pro Woche (</w:t>
      </w:r>
      <w:r w:rsidRPr="003B4715">
        <w:rPr>
          <w:rFonts w:ascii="Poppins" w:eastAsia="Poppins" w:hAnsi="Poppins" w:cs="Poppins"/>
          <w:b/>
          <w:bCs/>
          <w:color w:val="B01B1B"/>
          <w:sz w:val="21"/>
          <w:szCs w:val="21"/>
          <w:lang w:val="de-DE"/>
        </w:rPr>
        <w:t>[z. B. Montag bis Freitag]</w:t>
      </w:r>
      <w:r w:rsidRPr="003B4715">
        <w:rPr>
          <w:rFonts w:ascii="Poppins" w:eastAsia="Poppins" w:hAnsi="Poppins" w:cs="Poppins"/>
          <w:color w:val="28221E"/>
          <w:sz w:val="21"/>
          <w:szCs w:val="21"/>
          <w:lang w:val="de-DE"/>
        </w:rPr>
        <w:t>).</w:t>
      </w:r>
    </w:p>
    <w:p w14:paraId="5A6A5C97"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(2) Der Arbeitnehmer darf sich im Zeitfenster von </w:t>
      </w:r>
      <w:r w:rsidRPr="003B4715">
        <w:rPr>
          <w:rFonts w:ascii="Poppins" w:eastAsia="Poppins" w:hAnsi="Poppins" w:cs="Poppins"/>
          <w:b/>
          <w:bCs/>
          <w:color w:val="B01B1B"/>
          <w:sz w:val="21"/>
          <w:szCs w:val="21"/>
          <w:lang w:val="de-DE"/>
        </w:rPr>
        <w:t>[Beginn Gleitzeitrahmen, z. B. „08:00 Uhr“]</w:t>
      </w:r>
      <w:r w:rsidRPr="003B4715">
        <w:rPr>
          <w:rFonts w:ascii="Poppins" w:eastAsia="Poppins" w:hAnsi="Poppins" w:cs="Poppins"/>
          <w:color w:val="28221E"/>
          <w:sz w:val="21"/>
          <w:szCs w:val="21"/>
          <w:lang w:val="de-DE"/>
        </w:rPr>
        <w:t xml:space="preserve"> bis </w:t>
      </w:r>
      <w:r w:rsidRPr="003B4715">
        <w:rPr>
          <w:rFonts w:ascii="Poppins" w:eastAsia="Poppins" w:hAnsi="Poppins" w:cs="Poppins"/>
          <w:b/>
          <w:bCs/>
          <w:color w:val="B01B1B"/>
          <w:sz w:val="21"/>
          <w:szCs w:val="21"/>
          <w:lang w:val="de-DE"/>
        </w:rPr>
        <w:t>[Ende Gleitzeitrahmen, z. B. „19:00 Uhr“]</w:t>
      </w:r>
      <w:r w:rsidRPr="003B4715">
        <w:rPr>
          <w:rFonts w:ascii="Poppins" w:eastAsia="Poppins" w:hAnsi="Poppins" w:cs="Poppins"/>
          <w:color w:val="28221E"/>
          <w:sz w:val="21"/>
          <w:szCs w:val="21"/>
          <w:lang w:val="de-DE"/>
        </w:rPr>
        <w:t xml:space="preserve"> die genaue Arbeitszeit selbst einteilen, sofern zwingende betriebliche Belange nicht dagegensprechen.</w:t>
      </w:r>
    </w:p>
    <w:p w14:paraId="3D6F0198"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(3) Überstunden können angeordnet werden, wenn ein betrieblicher Bedarf für zusätzliche Arbeitsstunden entsteht, insbesondere bei unvorhersehbaren Ereignissen (z. B. Erkrankung anderer Mitarbeitender), Zeiten erhöhten Arbeitsaufkommens, Termindruck oder aufgrund von Veranstaltungen.</w:t>
      </w:r>
    </w:p>
    <w:p w14:paraId="669CFDE8"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(4) Überstunden werden zuschlagsfrei durch Freizeit ausgeglichen. Sollte dies aus betrieblichen Gründen nicht möglich sein, werden die Stunden zuschlagsfrei mit dem persönlichen Bruttostundensatz des Arbeitnehmers am Ende des jeweiligen Kalendermonats gezahlt.</w:t>
      </w:r>
    </w:p>
    <w:p w14:paraId="2FC59762"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(5) Die Mittagspause soll im Zeitraum von </w:t>
      </w:r>
      <w:r w:rsidRPr="003B4715">
        <w:rPr>
          <w:rFonts w:ascii="Poppins" w:eastAsia="Poppins" w:hAnsi="Poppins" w:cs="Poppins"/>
          <w:b/>
          <w:bCs/>
          <w:color w:val="B01B1B"/>
          <w:sz w:val="21"/>
          <w:szCs w:val="21"/>
          <w:lang w:val="de-DE"/>
        </w:rPr>
        <w:t>[Beginn Pausenfenster, z. B. „12:00 Uhr“]</w:t>
      </w:r>
      <w:r w:rsidRPr="003B4715">
        <w:rPr>
          <w:rFonts w:ascii="Poppins" w:eastAsia="Poppins" w:hAnsi="Poppins" w:cs="Poppins"/>
          <w:color w:val="28221E"/>
          <w:sz w:val="21"/>
          <w:szCs w:val="21"/>
          <w:lang w:val="de-DE"/>
        </w:rPr>
        <w:t xml:space="preserve"> bis </w:t>
      </w:r>
      <w:r w:rsidRPr="003B4715">
        <w:rPr>
          <w:rFonts w:ascii="Poppins" w:eastAsia="Poppins" w:hAnsi="Poppins" w:cs="Poppins"/>
          <w:b/>
          <w:bCs/>
          <w:color w:val="B01B1B"/>
          <w:sz w:val="21"/>
          <w:szCs w:val="21"/>
          <w:lang w:val="de-DE"/>
        </w:rPr>
        <w:t>[Ende Pausenfenster, z. B. „15:00 Uhr“]</w:t>
      </w:r>
      <w:r w:rsidRPr="003B4715">
        <w:rPr>
          <w:rFonts w:ascii="Poppins" w:eastAsia="Poppins" w:hAnsi="Poppins" w:cs="Poppins"/>
          <w:color w:val="28221E"/>
          <w:sz w:val="21"/>
          <w:szCs w:val="21"/>
          <w:lang w:val="de-DE"/>
        </w:rPr>
        <w:t xml:space="preserve"> genommen werden. Beginn und Ende der täglichen Pausen können eigenständig eingeteilt werden.</w:t>
      </w:r>
    </w:p>
    <w:p w14:paraId="4A4D45DF"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(6) Die tägliche Pause soll mindestens </w:t>
      </w:r>
      <w:r w:rsidRPr="003B4715">
        <w:rPr>
          <w:rFonts w:ascii="Poppins" w:eastAsia="Poppins" w:hAnsi="Poppins" w:cs="Poppins"/>
          <w:b/>
          <w:bCs/>
          <w:color w:val="B01B1B"/>
          <w:sz w:val="21"/>
          <w:szCs w:val="21"/>
          <w:lang w:val="de-DE"/>
        </w:rPr>
        <w:t>[Mindestdauer, z. B. „30 Minuten“]</w:t>
      </w:r>
      <w:r w:rsidRPr="003B4715">
        <w:rPr>
          <w:rFonts w:ascii="Poppins" w:eastAsia="Poppins" w:hAnsi="Poppins" w:cs="Poppins"/>
          <w:color w:val="28221E"/>
          <w:sz w:val="21"/>
          <w:szCs w:val="21"/>
          <w:lang w:val="de-DE"/>
        </w:rPr>
        <w:t xml:space="preserve"> und maximal </w:t>
      </w:r>
      <w:r w:rsidRPr="003B4715">
        <w:rPr>
          <w:rFonts w:ascii="Poppins" w:eastAsia="Poppins" w:hAnsi="Poppins" w:cs="Poppins"/>
          <w:b/>
          <w:bCs/>
          <w:color w:val="B01B1B"/>
          <w:sz w:val="21"/>
          <w:szCs w:val="21"/>
          <w:lang w:val="de-DE"/>
        </w:rPr>
        <w:t>[Höchstdauer, z. B. „1,5 Stunden“]</w:t>
      </w:r>
      <w:r w:rsidRPr="003B4715">
        <w:rPr>
          <w:rFonts w:ascii="Poppins" w:eastAsia="Poppins" w:hAnsi="Poppins" w:cs="Poppins"/>
          <w:color w:val="28221E"/>
          <w:sz w:val="21"/>
          <w:szCs w:val="21"/>
          <w:lang w:val="de-DE"/>
        </w:rPr>
        <w:t xml:space="preserve"> pro Arbeitstag betragen.</w:t>
      </w:r>
    </w:p>
    <w:p w14:paraId="117E497E"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(7) Der Arbeitnehmer erklärt sich mit einer automatischen (auch elektronischen) Zeiterfassung, Registrierung und dem Ausstellen eines persönlichen Ausweises/Zeiterfassungstokens einverstanden.</w:t>
      </w:r>
    </w:p>
    <w:p w14:paraId="34D61335"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(8) Der Arbeitnehmer erklärt sich damit einverstanden, dass pro Arbeitstag mindestens ein Pauschalabzug von </w:t>
      </w:r>
      <w:r w:rsidRPr="003B4715">
        <w:rPr>
          <w:rFonts w:ascii="Poppins" w:eastAsia="Poppins" w:hAnsi="Poppins" w:cs="Poppins"/>
          <w:b/>
          <w:bCs/>
          <w:color w:val="B01B1B"/>
          <w:sz w:val="21"/>
          <w:szCs w:val="21"/>
          <w:lang w:val="de-DE"/>
        </w:rPr>
        <w:t>[Pauschalabzug, z. B. „30 Minuten“]</w:t>
      </w:r>
      <w:r w:rsidRPr="003B4715">
        <w:rPr>
          <w:rFonts w:ascii="Poppins" w:eastAsia="Poppins" w:hAnsi="Poppins" w:cs="Poppins"/>
          <w:color w:val="28221E"/>
          <w:sz w:val="21"/>
          <w:szCs w:val="21"/>
          <w:lang w:val="de-DE"/>
        </w:rPr>
        <w:t xml:space="preserve"> vorgenommen wird, wenn keine oder zu kurze Pausen genommen werden. Bei längeren Pausenzeiten wird die tatsächliche Pausenzeit abgezogen.</w:t>
      </w:r>
    </w:p>
    <w:p w14:paraId="13ABA715" w14:textId="77777777" w:rsidR="005F1074" w:rsidRDefault="00000000">
      <w:pPr>
        <w:spacing w:after="140"/>
        <w:jc w:val="both"/>
      </w:pPr>
      <w:r w:rsidRPr="003B4715">
        <w:rPr>
          <w:rFonts w:ascii="Poppins" w:eastAsia="Poppins" w:hAnsi="Poppins" w:cs="Poppins"/>
          <w:color w:val="28221E"/>
          <w:sz w:val="21"/>
          <w:szCs w:val="21"/>
          <w:lang w:val="de-DE"/>
        </w:rPr>
        <w:lastRenderedPageBreak/>
        <w:t xml:space="preserve">(9) Der Arbeitgeber behält sich vor, aus dringenden betrieblichen Gründen eine Änderung der Arbeitszeiteinteilung vorzunehmen. </w:t>
      </w:r>
      <w:r>
        <w:rPr>
          <w:rFonts w:ascii="Poppins" w:eastAsia="Poppins" w:hAnsi="Poppins" w:cs="Poppins"/>
          <w:color w:val="28221E"/>
          <w:sz w:val="21"/>
          <w:szCs w:val="21"/>
        </w:rPr>
        <w:t xml:space="preserve">Der </w:t>
      </w:r>
      <w:proofErr w:type="spellStart"/>
      <w:r>
        <w:rPr>
          <w:rFonts w:ascii="Poppins" w:eastAsia="Poppins" w:hAnsi="Poppins" w:cs="Poppins"/>
          <w:color w:val="28221E"/>
          <w:sz w:val="21"/>
          <w:szCs w:val="21"/>
        </w:rPr>
        <w:t>Arbeitnehmer</w:t>
      </w:r>
      <w:proofErr w:type="spellEnd"/>
      <w:r>
        <w:rPr>
          <w:rFonts w:ascii="Poppins" w:eastAsia="Poppins" w:hAnsi="Poppins" w:cs="Poppins"/>
          <w:color w:val="28221E"/>
          <w:sz w:val="21"/>
          <w:szCs w:val="21"/>
        </w:rPr>
        <w:t xml:space="preserve"> </w:t>
      </w:r>
      <w:proofErr w:type="spellStart"/>
      <w:r>
        <w:rPr>
          <w:rFonts w:ascii="Poppins" w:eastAsia="Poppins" w:hAnsi="Poppins" w:cs="Poppins"/>
          <w:color w:val="28221E"/>
          <w:sz w:val="21"/>
          <w:szCs w:val="21"/>
        </w:rPr>
        <w:t>verpflichtet</w:t>
      </w:r>
      <w:proofErr w:type="spellEnd"/>
      <w:r>
        <w:rPr>
          <w:rFonts w:ascii="Poppins" w:eastAsia="Poppins" w:hAnsi="Poppins" w:cs="Poppins"/>
          <w:color w:val="28221E"/>
          <w:sz w:val="21"/>
          <w:szCs w:val="21"/>
        </w:rPr>
        <w:t xml:space="preserve"> </w:t>
      </w:r>
      <w:proofErr w:type="spellStart"/>
      <w:r>
        <w:rPr>
          <w:rFonts w:ascii="Poppins" w:eastAsia="Poppins" w:hAnsi="Poppins" w:cs="Poppins"/>
          <w:color w:val="28221E"/>
          <w:sz w:val="21"/>
          <w:szCs w:val="21"/>
        </w:rPr>
        <w:t>sich</w:t>
      </w:r>
      <w:proofErr w:type="spellEnd"/>
      <w:r>
        <w:rPr>
          <w:rFonts w:ascii="Poppins" w:eastAsia="Poppins" w:hAnsi="Poppins" w:cs="Poppins"/>
          <w:color w:val="28221E"/>
          <w:sz w:val="21"/>
          <w:szCs w:val="21"/>
        </w:rPr>
        <w:t xml:space="preserve">, </w:t>
      </w:r>
      <w:proofErr w:type="spellStart"/>
      <w:r>
        <w:rPr>
          <w:rFonts w:ascii="Poppins" w:eastAsia="Poppins" w:hAnsi="Poppins" w:cs="Poppins"/>
          <w:color w:val="28221E"/>
          <w:sz w:val="21"/>
          <w:szCs w:val="21"/>
        </w:rPr>
        <w:t>dieser</w:t>
      </w:r>
      <w:proofErr w:type="spellEnd"/>
      <w:r>
        <w:rPr>
          <w:rFonts w:ascii="Poppins" w:eastAsia="Poppins" w:hAnsi="Poppins" w:cs="Poppins"/>
          <w:color w:val="28221E"/>
          <w:sz w:val="21"/>
          <w:szCs w:val="21"/>
        </w:rPr>
        <w:t xml:space="preserve"> </w:t>
      </w:r>
      <w:proofErr w:type="spellStart"/>
      <w:r>
        <w:rPr>
          <w:rFonts w:ascii="Poppins" w:eastAsia="Poppins" w:hAnsi="Poppins" w:cs="Poppins"/>
          <w:color w:val="28221E"/>
          <w:sz w:val="21"/>
          <w:szCs w:val="21"/>
        </w:rPr>
        <w:t>Änderung</w:t>
      </w:r>
      <w:proofErr w:type="spellEnd"/>
      <w:r>
        <w:rPr>
          <w:rFonts w:ascii="Poppins" w:eastAsia="Poppins" w:hAnsi="Poppins" w:cs="Poppins"/>
          <w:color w:val="28221E"/>
          <w:sz w:val="21"/>
          <w:szCs w:val="21"/>
        </w:rPr>
        <w:t xml:space="preserve"> </w:t>
      </w:r>
      <w:proofErr w:type="spellStart"/>
      <w:r>
        <w:rPr>
          <w:rFonts w:ascii="Poppins" w:eastAsia="Poppins" w:hAnsi="Poppins" w:cs="Poppins"/>
          <w:color w:val="28221E"/>
          <w:sz w:val="21"/>
          <w:szCs w:val="21"/>
        </w:rPr>
        <w:t>nachzukommen</w:t>
      </w:r>
      <w:proofErr w:type="spellEnd"/>
      <w:r>
        <w:rPr>
          <w:rFonts w:ascii="Poppins" w:eastAsia="Poppins" w:hAnsi="Poppins" w:cs="Poppins"/>
          <w:color w:val="28221E"/>
          <w:sz w:val="21"/>
          <w:szCs w:val="21"/>
        </w:rPr>
        <w:t>.</w:t>
      </w:r>
    </w:p>
    <w:p w14:paraId="3B358767" w14:textId="77777777" w:rsidR="005F1074" w:rsidRDefault="005F1074">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3BB109FA"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0F984BCB" w14:textId="49FDCE29" w:rsidR="005F1074" w:rsidRPr="003B4715" w:rsidRDefault="00000000">
            <w:pPr>
              <w:spacing w:after="60"/>
              <w:rPr>
                <w:lang w:val="de-DE"/>
              </w:rPr>
            </w:pPr>
            <w:r w:rsidRPr="003B4715">
              <w:rPr>
                <w:rFonts w:ascii="Poppins" w:eastAsia="Poppins" w:hAnsi="Poppins" w:cs="Poppins"/>
                <w:b/>
                <w:bCs/>
                <w:color w:val="7B1013"/>
                <w:lang w:val="de-DE"/>
              </w:rPr>
              <w:t>Warum ist das wichtig?</w:t>
            </w:r>
          </w:p>
          <w:p w14:paraId="60A06843" w14:textId="77777777" w:rsidR="005F1074" w:rsidRPr="003B4715" w:rsidRDefault="00000000">
            <w:pPr>
              <w:spacing w:after="80"/>
              <w:jc w:val="both"/>
              <w:rPr>
                <w:lang w:val="de-DE"/>
              </w:rPr>
            </w:pPr>
            <w:r w:rsidRPr="003B4715">
              <w:rPr>
                <w:rFonts w:ascii="Poppins" w:eastAsia="Poppins" w:hAnsi="Poppins" w:cs="Poppins"/>
                <w:i/>
                <w:iCs/>
                <w:color w:val="28221E"/>
                <w:lang w:val="de-DE"/>
              </w:rPr>
              <w:t>Die wöchentliche Arbeitszeit ist eine Pflichtangabe. Alles Weitere in diesem Abschnitt – Gleitzeit, Pausenregeln, Zeiterfassung, Umgang mit Überstunden – ist gestaltbar und sollte zur tatsächlichen Arbeitsweise in Ihrem Unternehmen passen.</w:t>
            </w:r>
          </w:p>
          <w:p w14:paraId="04CCB10E" w14:textId="77777777" w:rsidR="005F1074" w:rsidRPr="003B4715" w:rsidRDefault="00000000">
            <w:pPr>
              <w:jc w:val="both"/>
              <w:rPr>
                <w:lang w:val="de-DE"/>
              </w:rPr>
            </w:pPr>
            <w:r w:rsidRPr="003B4715">
              <w:rPr>
                <w:rFonts w:ascii="Poppins" w:eastAsia="Poppins" w:hAnsi="Poppins" w:cs="Poppins"/>
                <w:b/>
                <w:bCs/>
                <w:color w:val="B01B1B"/>
                <w:lang w:val="de-DE"/>
              </w:rPr>
              <w:t xml:space="preserve">⚠ Praxishinweis: </w:t>
            </w:r>
            <w:r w:rsidRPr="003B4715">
              <w:rPr>
                <w:rFonts w:ascii="Poppins" w:eastAsia="Poppins" w:hAnsi="Poppins" w:cs="Poppins"/>
                <w:i/>
                <w:iCs/>
                <w:color w:val="28221E"/>
                <w:lang w:val="de-DE"/>
              </w:rPr>
              <w:t>Pauschale Zeitabzüge für „vergessene“ Pausen (Absatz 8) werden von Gerichten kritisch geprüft und sollten die tatsächliche Pausenzeit widerspiegeln – sonst drohen Nachzahlungsansprüche.</w:t>
            </w:r>
          </w:p>
        </w:tc>
      </w:tr>
    </w:tbl>
    <w:p w14:paraId="11D895E3" w14:textId="77777777" w:rsidR="005F1074" w:rsidRPr="003B4715" w:rsidRDefault="005F1074">
      <w:pPr>
        <w:spacing w:after="200"/>
        <w:rPr>
          <w:lang w:val="de-DE"/>
        </w:rPr>
      </w:pPr>
    </w:p>
    <w:p w14:paraId="3CFAE5AE"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4 Vergütung</w:t>
      </w:r>
    </w:p>
    <w:p w14:paraId="004A113E"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(1) Der Arbeitnehmer erhält für seine Tätigkeit ein festes Monatsgehalt in Höhe von </w:t>
      </w:r>
      <w:r w:rsidRPr="003B4715">
        <w:rPr>
          <w:rFonts w:ascii="Poppins" w:eastAsia="Poppins" w:hAnsi="Poppins" w:cs="Poppins"/>
          <w:b/>
          <w:bCs/>
          <w:color w:val="B01B1B"/>
          <w:sz w:val="21"/>
          <w:szCs w:val="21"/>
          <w:lang w:val="de-DE"/>
        </w:rPr>
        <w:t>[Bruttomonatsgehalt]</w:t>
      </w:r>
      <w:r w:rsidRPr="003B4715">
        <w:rPr>
          <w:rFonts w:ascii="Poppins" w:eastAsia="Poppins" w:hAnsi="Poppins" w:cs="Poppins"/>
          <w:color w:val="28221E"/>
          <w:sz w:val="21"/>
          <w:szCs w:val="21"/>
          <w:lang w:val="de-DE"/>
        </w:rPr>
        <w:t xml:space="preserve"> EUR brutto. Das Arbeitsentgelt ist jeweils nachträglich zum Ende eines Monats fällig und wird nach Abzug der gesetzlichen Steuern und Abgaben auf ein vom Arbeitnehmer zu benennendes Konto überwiesen.</w:t>
      </w:r>
    </w:p>
    <w:p w14:paraId="34842083"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Soweit für den Arbeitnehmer in der Vergangenheit eine betriebliche Altersvorsorge als Direktversicherung geführt wurde, wird diese weitergeführt.</w:t>
      </w:r>
    </w:p>
    <w:p w14:paraId="4BE002C7"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(3) Leistet der Arbeitgeber über die hier vereinbarten Zahlungen hinaus Gratifikationen, Boni oder sonstige zusätzliche Sonderzahlungen, die nicht zuvor individuell vereinbart worden sind, handelt es sich um freiwillige Leistungen des Arbeitgebers aufgrund einer jeweils gesondert getroffenen Entscheidung. Ein Rechtsanspruch auf die wiederholte oder dauerhafte Gewährung derartiger freiwilliger Leistungen für die Zukunft entsteht auch nach mehrmaliger vorbehaltsloser Zahlung nicht. Satz 1 und 2 gelten nicht, wenn die Leistungen auf einer individuellen Vertragsabrede mit dem Arbeitnehmer beruhen.</w:t>
      </w:r>
    </w:p>
    <w:p w14:paraId="6BD77591"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(4) Im Falle einer Abtretung oder Verpfändung der </w:t>
      </w:r>
      <w:proofErr w:type="gramStart"/>
      <w:r w:rsidRPr="003B4715">
        <w:rPr>
          <w:rFonts w:ascii="Poppins" w:eastAsia="Poppins" w:hAnsi="Poppins" w:cs="Poppins"/>
          <w:color w:val="28221E"/>
          <w:sz w:val="21"/>
          <w:szCs w:val="21"/>
          <w:lang w:val="de-DE"/>
        </w:rPr>
        <w:t>zu gewährenden Bezüge</w:t>
      </w:r>
      <w:proofErr w:type="gramEnd"/>
      <w:r w:rsidRPr="003B4715">
        <w:rPr>
          <w:rFonts w:ascii="Poppins" w:eastAsia="Poppins" w:hAnsi="Poppins" w:cs="Poppins"/>
          <w:color w:val="28221E"/>
          <w:sz w:val="21"/>
          <w:szCs w:val="21"/>
          <w:lang w:val="de-DE"/>
        </w:rPr>
        <w:t xml:space="preserve"> hat der Arbeitnehmer die hierdurch dem Arbeitgeber entstehenden Kosten zu erstatten. Der Arbeitgeber ist berechtigt, für jeden Bearbeitungsvorgang (Überweisung, Korrespondenz etc.) </w:t>
      </w:r>
      <w:r w:rsidRPr="003B4715">
        <w:rPr>
          <w:rFonts w:ascii="Poppins" w:eastAsia="Poppins" w:hAnsi="Poppins" w:cs="Poppins"/>
          <w:b/>
          <w:bCs/>
          <w:color w:val="B01B1B"/>
          <w:sz w:val="21"/>
          <w:szCs w:val="21"/>
          <w:lang w:val="de-DE"/>
        </w:rPr>
        <w:t>[Bearbeitungsgebühr, z. B. „5,00“]</w:t>
      </w:r>
      <w:r w:rsidRPr="003B4715">
        <w:rPr>
          <w:rFonts w:ascii="Poppins" w:eastAsia="Poppins" w:hAnsi="Poppins" w:cs="Poppins"/>
          <w:color w:val="28221E"/>
          <w:sz w:val="21"/>
          <w:szCs w:val="21"/>
          <w:lang w:val="de-DE"/>
        </w:rPr>
        <w:t xml:space="preserve"> EUR als pauschalen Ersatz der hierdurch entstehenden Kosten einzubehalten. Dem Arbeitgeber bleibt vorbehalten, höhere Kosten nachzuweisen und geltend zu machen; dem Arbeitnehmer bleibt der Nachweis vorbehalten, dass geringere oder keine Kosten entstanden sind.</w:t>
      </w:r>
    </w:p>
    <w:p w14:paraId="43C61D62"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(5) Für den Fall einer irrtümlichen Gehaltsüberzahlung an den Arbeitnehmer ist dieser verpflichtet, die überzahlten Beträge zurückzuzahlen. Der Einwand der Entreicherung ist ausgeschlossen, wenn die Überzahlung so offensichtlich war, dass der Arbeitnehmer dies hätte erkennen müssen, oder wenn sie auf Umständen beruht, die der Arbeitnehmer zu vertreten hat.</w:t>
      </w:r>
    </w:p>
    <w:p w14:paraId="22620D0C"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14:paraId="69344162"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269B5409" w14:textId="2D35DD12" w:rsidR="005F1074" w:rsidRPr="003B4715" w:rsidRDefault="00000000">
            <w:pPr>
              <w:spacing w:after="60"/>
              <w:rPr>
                <w:lang w:val="de-DE"/>
              </w:rPr>
            </w:pPr>
            <w:r w:rsidRPr="003B4715">
              <w:rPr>
                <w:rFonts w:ascii="Poppins" w:eastAsia="Poppins" w:hAnsi="Poppins" w:cs="Poppins"/>
                <w:b/>
                <w:bCs/>
                <w:color w:val="7B1013"/>
                <w:lang w:val="de-DE"/>
              </w:rPr>
              <w:t>Warum ist das wichtig?</w:t>
            </w:r>
          </w:p>
          <w:p w14:paraId="2FF3AC78" w14:textId="77777777" w:rsidR="005F1074" w:rsidRPr="003B4715" w:rsidRDefault="00000000">
            <w:pPr>
              <w:spacing w:after="80"/>
              <w:jc w:val="both"/>
              <w:rPr>
                <w:lang w:val="de-DE"/>
              </w:rPr>
            </w:pPr>
            <w:r w:rsidRPr="003B4715">
              <w:rPr>
                <w:rFonts w:ascii="Poppins" w:eastAsia="Poppins" w:hAnsi="Poppins" w:cs="Poppins"/>
                <w:i/>
                <w:iCs/>
                <w:color w:val="28221E"/>
                <w:lang w:val="de-DE"/>
              </w:rPr>
              <w:lastRenderedPageBreak/>
              <w:t>Höhe und Fälligkeit des Gehalts müssen im Vertrag stehen – das ist zwingend. Die übrigen Absätze (Altersvorsorge, freiwillige Boni, Kostenpauschalen, Rückzahlung bei Überzahlung) sind ergänzende Regelungen, die Klarheit schaffen, aber individuell verhandelbar sind.</w:t>
            </w:r>
          </w:p>
          <w:p w14:paraId="322C5136" w14:textId="77777777" w:rsidR="005F1074" w:rsidRDefault="00000000">
            <w:pPr>
              <w:jc w:val="both"/>
            </w:pPr>
            <w:r w:rsidRPr="003B4715">
              <w:rPr>
                <w:rFonts w:ascii="Poppins" w:eastAsia="Poppins" w:hAnsi="Poppins" w:cs="Poppins"/>
                <w:b/>
                <w:bCs/>
                <w:color w:val="B01B1B"/>
                <w:lang w:val="de-DE"/>
              </w:rPr>
              <w:t xml:space="preserve">⚠ Praxishinweis: </w:t>
            </w:r>
            <w:r w:rsidRPr="003B4715">
              <w:rPr>
                <w:rFonts w:ascii="Poppins" w:eastAsia="Poppins" w:hAnsi="Poppins" w:cs="Poppins"/>
                <w:i/>
                <w:iCs/>
                <w:color w:val="28221E"/>
                <w:lang w:val="de-DE"/>
              </w:rPr>
              <w:t xml:space="preserve">Pauschale Bearbeitungsgebühren bei Lohnabtretung (Absatz 4) werden in der Rechtsprechung teils als unwirksam eingestuft, wenn sie unangemessen hoch sind. </w:t>
            </w:r>
            <w:r>
              <w:rPr>
                <w:rFonts w:ascii="Poppins" w:eastAsia="Poppins" w:hAnsi="Poppins" w:cs="Poppins"/>
                <w:i/>
                <w:iCs/>
                <w:color w:val="28221E"/>
              </w:rPr>
              <w:t xml:space="preserve">Lassen Sie </w:t>
            </w:r>
            <w:proofErr w:type="spellStart"/>
            <w:r>
              <w:rPr>
                <w:rFonts w:ascii="Poppins" w:eastAsia="Poppins" w:hAnsi="Poppins" w:cs="Poppins"/>
                <w:i/>
                <w:iCs/>
                <w:color w:val="28221E"/>
              </w:rPr>
              <w:t>diese</w:t>
            </w:r>
            <w:proofErr w:type="spellEnd"/>
            <w:r>
              <w:rPr>
                <w:rFonts w:ascii="Poppins" w:eastAsia="Poppins" w:hAnsi="Poppins" w:cs="Poppins"/>
                <w:i/>
                <w:iCs/>
                <w:color w:val="28221E"/>
              </w:rPr>
              <w:t xml:space="preserve"> </w:t>
            </w:r>
            <w:proofErr w:type="spellStart"/>
            <w:r>
              <w:rPr>
                <w:rFonts w:ascii="Poppins" w:eastAsia="Poppins" w:hAnsi="Poppins" w:cs="Poppins"/>
                <w:i/>
                <w:iCs/>
                <w:color w:val="28221E"/>
              </w:rPr>
              <w:t>Klausel</w:t>
            </w:r>
            <w:proofErr w:type="spellEnd"/>
            <w:r>
              <w:rPr>
                <w:rFonts w:ascii="Poppins" w:eastAsia="Poppins" w:hAnsi="Poppins" w:cs="Poppins"/>
                <w:i/>
                <w:iCs/>
                <w:color w:val="28221E"/>
              </w:rPr>
              <w:t xml:space="preserve"> </w:t>
            </w:r>
            <w:proofErr w:type="spellStart"/>
            <w:r>
              <w:rPr>
                <w:rFonts w:ascii="Poppins" w:eastAsia="Poppins" w:hAnsi="Poppins" w:cs="Poppins"/>
                <w:i/>
                <w:iCs/>
                <w:color w:val="28221E"/>
              </w:rPr>
              <w:t>im</w:t>
            </w:r>
            <w:proofErr w:type="spellEnd"/>
            <w:r>
              <w:rPr>
                <w:rFonts w:ascii="Poppins" w:eastAsia="Poppins" w:hAnsi="Poppins" w:cs="Poppins"/>
                <w:i/>
                <w:iCs/>
                <w:color w:val="28221E"/>
              </w:rPr>
              <w:t xml:space="preserve"> Zweifel </w:t>
            </w:r>
            <w:proofErr w:type="spellStart"/>
            <w:r>
              <w:rPr>
                <w:rFonts w:ascii="Poppins" w:eastAsia="Poppins" w:hAnsi="Poppins" w:cs="Poppins"/>
                <w:i/>
                <w:iCs/>
                <w:color w:val="28221E"/>
              </w:rPr>
              <w:t>gegenprüfen</w:t>
            </w:r>
            <w:proofErr w:type="spellEnd"/>
            <w:r>
              <w:rPr>
                <w:rFonts w:ascii="Poppins" w:eastAsia="Poppins" w:hAnsi="Poppins" w:cs="Poppins"/>
                <w:i/>
                <w:iCs/>
                <w:color w:val="28221E"/>
              </w:rPr>
              <w:t>.</w:t>
            </w:r>
          </w:p>
        </w:tc>
      </w:tr>
    </w:tbl>
    <w:p w14:paraId="14BD325B" w14:textId="77777777" w:rsidR="005F1074" w:rsidRDefault="005F1074">
      <w:pPr>
        <w:spacing w:after="200"/>
      </w:pPr>
    </w:p>
    <w:p w14:paraId="39419A29" w14:textId="77777777" w:rsidR="005F1074" w:rsidRDefault="00000000">
      <w:pPr>
        <w:pBdr>
          <w:bottom w:val="single" w:sz="6" w:space="4" w:color="E1DBD4"/>
        </w:pBdr>
        <w:spacing w:before="340" w:after="120"/>
      </w:pPr>
      <w:r>
        <w:rPr>
          <w:rFonts w:ascii="Poppins" w:eastAsia="Poppins" w:hAnsi="Poppins" w:cs="Poppins"/>
          <w:b/>
          <w:bCs/>
          <w:color w:val="7B1013"/>
          <w:sz w:val="26"/>
          <w:szCs w:val="26"/>
        </w:rPr>
        <w:t xml:space="preserve">§ 5 </w:t>
      </w:r>
      <w:proofErr w:type="spellStart"/>
      <w:r>
        <w:rPr>
          <w:rFonts w:ascii="Poppins" w:eastAsia="Poppins" w:hAnsi="Poppins" w:cs="Poppins"/>
          <w:b/>
          <w:bCs/>
          <w:color w:val="7B1013"/>
          <w:sz w:val="26"/>
          <w:szCs w:val="26"/>
        </w:rPr>
        <w:t>Arbeitsverhinderung</w:t>
      </w:r>
      <w:proofErr w:type="spellEnd"/>
      <w:proofErr w:type="gramStart"/>
      <w:r>
        <w:rPr>
          <w:rFonts w:ascii="Poppins" w:eastAsia="Poppins" w:hAnsi="Poppins" w:cs="Poppins"/>
          <w:b/>
          <w:bCs/>
          <w:i/>
          <w:iCs/>
          <w:color w:val="B01B1B"/>
        </w:rPr>
        <w:t xml:space="preserve">   (</w:t>
      </w:r>
      <w:proofErr w:type="gramEnd"/>
      <w:r>
        <w:rPr>
          <w:rFonts w:ascii="Poppins" w:eastAsia="Poppins" w:hAnsi="Poppins" w:cs="Poppins"/>
          <w:b/>
          <w:bCs/>
          <w:i/>
          <w:iCs/>
          <w:color w:val="B01B1B"/>
        </w:rPr>
        <w:t xml:space="preserve">Optional / </w:t>
      </w:r>
      <w:proofErr w:type="spellStart"/>
      <w:r>
        <w:rPr>
          <w:rFonts w:ascii="Poppins" w:eastAsia="Poppins" w:hAnsi="Poppins" w:cs="Poppins"/>
          <w:b/>
          <w:bCs/>
          <w:i/>
          <w:iCs/>
          <w:color w:val="B01B1B"/>
        </w:rPr>
        <w:t>anpassbar</w:t>
      </w:r>
      <w:proofErr w:type="spellEnd"/>
      <w:r>
        <w:rPr>
          <w:rFonts w:ascii="Poppins" w:eastAsia="Poppins" w:hAnsi="Poppins" w:cs="Poppins"/>
          <w:b/>
          <w:bCs/>
          <w:i/>
          <w:iCs/>
          <w:color w:val="B01B1B"/>
        </w:rPr>
        <w:t>)</w:t>
      </w:r>
    </w:p>
    <w:p w14:paraId="24C3ED37"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(1) Der Arbeitnehmer ist verpflichtet, der vom Arbeitgeber hierfür vorgesehenen Stelle, ansonsten dem Vorgesetzten, jede Arbeitsverhinderung und ihre voraussichtliche Dauer unverzüglich nach Kenntnis, möglichst vor dem Zeitpunkt der erwarteten Arbeitsaufnahme telefonisch oder per E-Mail mitzuteilen, sowie auf Verlangen des Arbeitgebers die Gründe der Arbeitsverhinderung mitzuteilen. Ist der Arbeitnehmer hierzu selbst nicht in der Lage, hat er in gleicher Weise die Information des Arbeitgebers durch Dritte zu veranlassen.</w:t>
      </w:r>
    </w:p>
    <w:p w14:paraId="0B70140D"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Im Übrigen gelten die Nachweispflichten gemäß § 5 EFZG, mit der Maßgabe, dass der Arbeitnehmer seinen Nachweispflichten vor Ablauf des dritten Tages der Arbeitsunfähigkeit nachzukommen hat.</w:t>
      </w:r>
    </w:p>
    <w:p w14:paraId="65BDEB9F"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(3) Dauert die Arbeitsunfähigkeit länger als in der Bescheinigung angegeben, hat der Arbeitnehmer dies erneut entsprechend Absatz (1) mitzuteilen und unverzüglich eine erneute ärztliche Bescheinigung vorzulegen.</w:t>
      </w:r>
    </w:p>
    <w:p w14:paraId="420515BE"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(4) Der Arbeitgeber kann im Einzelfall verlangen, dass der Arbeitnehmer seinen Nachweispflichten früher nachkommt, auch bereits ab dem ersten Tag der Arbeitsunfähigkeit.</w:t>
      </w:r>
    </w:p>
    <w:p w14:paraId="581FF1D7"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(5) Die Parteien vereinbaren, dass § 616 BGB (Sonderurlaub bei persönlicher Verhinderung) nicht gilt.</w:t>
      </w:r>
    </w:p>
    <w:p w14:paraId="5C8D9A73"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5CB19A29"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3F6B0359" w14:textId="623F5B77" w:rsidR="005F1074" w:rsidRPr="003B4715" w:rsidRDefault="00000000">
            <w:pPr>
              <w:spacing w:after="60"/>
              <w:rPr>
                <w:lang w:val="de-DE"/>
              </w:rPr>
            </w:pPr>
            <w:r w:rsidRPr="003B4715">
              <w:rPr>
                <w:rFonts w:ascii="Poppins" w:eastAsia="Poppins" w:hAnsi="Poppins" w:cs="Poppins"/>
                <w:b/>
                <w:bCs/>
                <w:color w:val="7B1013"/>
                <w:lang w:val="de-DE"/>
              </w:rPr>
              <w:t>Warum ist das wichtig?</w:t>
            </w:r>
          </w:p>
          <w:p w14:paraId="076C3172" w14:textId="77777777" w:rsidR="005F1074" w:rsidRPr="003B4715" w:rsidRDefault="00000000">
            <w:pPr>
              <w:jc w:val="both"/>
              <w:rPr>
                <w:lang w:val="de-DE"/>
              </w:rPr>
            </w:pPr>
            <w:r w:rsidRPr="003B4715">
              <w:rPr>
                <w:rFonts w:ascii="Poppins" w:eastAsia="Poppins" w:hAnsi="Poppins" w:cs="Poppins"/>
                <w:i/>
                <w:iCs/>
                <w:color w:val="28221E"/>
                <w:lang w:val="de-DE"/>
              </w:rPr>
              <w:t>Die grundlegende Pflicht, sich krankzumelden, ergibt sich bereits aus dem Gesetz (Entgeltfortzahlungsgesetz) – unabhängig davon, ob sie im Vertrag steht. Dieser Abschnitt konkretisiert lediglich, wie und bis wann die Meldung erfolgen soll, was in der Praxis Missverständnisse vermeidet. Sie können Fristen und Formvorgaben an Ihre betrieblichen Abläufe anpassen.</w:t>
            </w:r>
          </w:p>
        </w:tc>
      </w:tr>
    </w:tbl>
    <w:p w14:paraId="2473F621" w14:textId="77777777" w:rsidR="005F1074" w:rsidRPr="003B4715" w:rsidRDefault="005F1074">
      <w:pPr>
        <w:spacing w:after="200"/>
        <w:rPr>
          <w:lang w:val="de-DE"/>
        </w:rPr>
      </w:pPr>
    </w:p>
    <w:p w14:paraId="0FB624A9"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6 Urlaub</w:t>
      </w:r>
    </w:p>
    <w:p w14:paraId="59A9249C"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(1) Der Arbeitnehmer hat Anspruch auf den gesetzlichen Mindesturlaub von 20 Arbeitstagen, ausgehend von einer 5-Tage-Woche. Darüber hinaus gewährt der Arbeitgeber dem Arbeitnehmer einen vertraglichen Erholungsurlaub von weiteren </w:t>
      </w:r>
      <w:r w:rsidRPr="003B4715">
        <w:rPr>
          <w:rFonts w:ascii="Poppins" w:eastAsia="Poppins" w:hAnsi="Poppins" w:cs="Poppins"/>
          <w:b/>
          <w:bCs/>
          <w:color w:val="B01B1B"/>
          <w:sz w:val="21"/>
          <w:szCs w:val="21"/>
          <w:lang w:val="de-DE"/>
        </w:rPr>
        <w:t>[zusätzliche Urlaubstage, z. B. „10“]</w:t>
      </w:r>
      <w:r w:rsidRPr="003B4715">
        <w:rPr>
          <w:rFonts w:ascii="Poppins" w:eastAsia="Poppins" w:hAnsi="Poppins" w:cs="Poppins"/>
          <w:color w:val="28221E"/>
          <w:sz w:val="21"/>
          <w:szCs w:val="21"/>
          <w:lang w:val="de-DE"/>
        </w:rPr>
        <w:t xml:space="preserve"> Arbeitstagen pro Kalenderjahr.</w:t>
      </w:r>
    </w:p>
    <w:p w14:paraId="48EE5DDF"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Mit Urlaubserteilung erfüllt der Arbeitgeber zunächst den gesetzlichen Urlaubsanspruch.</w:t>
      </w:r>
    </w:p>
    <w:p w14:paraId="7B940EBF"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lastRenderedPageBreak/>
        <w:t>(3) Die Festlegung des Urlaubs erfolgt durch den Arbeitgeber unter Berücksichtigung der Wünsche des Arbeitnehmers. Dringende betriebliche Gründe oder vorrangige Urlaubswünsche anderer Mitarbeitender gehen vor. Der Arbeitnehmer kann Urlaub erst antreten, wenn dieser vom Arbeitgeber in Textform genehmigt oder festgelegt ist.</w:t>
      </w:r>
    </w:p>
    <w:p w14:paraId="7A06B450"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(4) Der Arbeitgeber ist berechtigt, Betriebsurlaub anzuordnen, der auf die dem Arbeitnehmer zustehenden Urlaubstage angerechnet wird.</w:t>
      </w:r>
    </w:p>
    <w:p w14:paraId="6E4055B9"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(5) Für den Verfall des vertraglichen Urlaubsanspruchs gelten die Regelungen des Bundesurlaubsgesetzes mit der Maßgabe, dass der Urlaub mit Ablauf des 31.3. des Folgejahres verfällt, selbst wenn der Arbeitnehmer den Urlaub wegen Arbeitsunfähigkeit nicht nehmen konnte.</w:t>
      </w:r>
    </w:p>
    <w:p w14:paraId="3525935E"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(6) Eine etwaige Urlaubsabgeltung bei Beendigung des Arbeitsverhältnisses erfolgt nur für den gesetzlichen Urlaubsanspruch.</w:t>
      </w:r>
    </w:p>
    <w:p w14:paraId="7D934C0B"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1304D8F1"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16D94C77" w14:textId="5341BD05" w:rsidR="005F1074" w:rsidRPr="003B4715" w:rsidRDefault="00000000">
            <w:pPr>
              <w:spacing w:after="60"/>
              <w:rPr>
                <w:lang w:val="de-DE"/>
              </w:rPr>
            </w:pPr>
            <w:r w:rsidRPr="003B4715">
              <w:rPr>
                <w:rFonts w:ascii="Poppins" w:eastAsia="Poppins" w:hAnsi="Poppins" w:cs="Poppins"/>
                <w:b/>
                <w:bCs/>
                <w:color w:val="7B1013"/>
                <w:lang w:val="de-DE"/>
              </w:rPr>
              <w:t>Warum ist das wichtig?</w:t>
            </w:r>
          </w:p>
          <w:p w14:paraId="29573E7C" w14:textId="77777777" w:rsidR="005F1074" w:rsidRPr="003B4715" w:rsidRDefault="00000000">
            <w:pPr>
              <w:jc w:val="both"/>
              <w:rPr>
                <w:lang w:val="de-DE"/>
              </w:rPr>
            </w:pPr>
            <w:r w:rsidRPr="003B4715">
              <w:rPr>
                <w:rFonts w:ascii="Poppins" w:eastAsia="Poppins" w:hAnsi="Poppins" w:cs="Poppins"/>
                <w:i/>
                <w:iCs/>
                <w:color w:val="28221E"/>
                <w:lang w:val="de-DE"/>
              </w:rPr>
              <w:t>Der gesetzliche Mindesturlaub (20 Tage bei einer 5-Tage-Woche) steht jedem Arbeitnehmer zu – daran führt kein Weg vorbei. Zusätzliche Urlaubstage, wie hier vorgesehen, sind eine freiwillige Leistung und ein beliebtes Argument im Recruiting. Die Regeln zum Verfall sollten Sie regelmäßig mit der aktuellen Rechtsprechung abgleichen – hier lohnt sich im Zweifel eine kurze rechtliche Prüfung.</w:t>
            </w:r>
          </w:p>
        </w:tc>
      </w:tr>
    </w:tbl>
    <w:p w14:paraId="3C034A60" w14:textId="77777777" w:rsidR="005F1074" w:rsidRPr="003B4715" w:rsidRDefault="005F1074">
      <w:pPr>
        <w:spacing w:after="200"/>
        <w:rPr>
          <w:lang w:val="de-DE"/>
        </w:rPr>
      </w:pPr>
    </w:p>
    <w:p w14:paraId="654920E3"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7 Nebentätigkeiten, Wettbewerbsverbot</w:t>
      </w:r>
      <w:proofErr w:type="gramStart"/>
      <w:r w:rsidRPr="003B4715">
        <w:rPr>
          <w:rFonts w:ascii="Poppins" w:eastAsia="Poppins" w:hAnsi="Poppins" w:cs="Poppins"/>
          <w:b/>
          <w:bCs/>
          <w:i/>
          <w:iCs/>
          <w:color w:val="B01B1B"/>
          <w:lang w:val="de-DE"/>
        </w:rPr>
        <w:t xml:space="preserve">   (</w:t>
      </w:r>
      <w:proofErr w:type="gramEnd"/>
      <w:r w:rsidRPr="003B4715">
        <w:rPr>
          <w:rFonts w:ascii="Poppins" w:eastAsia="Poppins" w:hAnsi="Poppins" w:cs="Poppins"/>
          <w:b/>
          <w:bCs/>
          <w:i/>
          <w:iCs/>
          <w:color w:val="B01B1B"/>
          <w:lang w:val="de-DE"/>
        </w:rPr>
        <w:t>Optional / anpassbar)</w:t>
      </w:r>
    </w:p>
    <w:p w14:paraId="417F8067"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(1) Der Arbeitnehmer verpflichtet sich, ohne vorherige Zustimmung des Arbeitgebers keine Nebentätigkeiten aufzunehmen. Der Arbeitgeber hat seine Zustimmung zu geben, wenn keine berechtigten Interessen dagegensprechen.</w:t>
      </w:r>
    </w:p>
    <w:p w14:paraId="536DC463"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Während des Bestehens dieses Arbeitsvertrages ist es dem Arbeitnehmer untersagt, direkt oder indirekt (z. B. als Leiharbeitnehmer), als freier Mitarbeiter oder als Arbeitnehmer für ein mit dem Arbeitgeber in Wettbewerb stehendes Unternehmen zu arbeiten oder eigene unternehmerische Tätigkeiten zu entfalten, die mit dem Arbeitgeber in Konkurrenz treten könnten.</w:t>
      </w:r>
    </w:p>
    <w:p w14:paraId="3513E30E" w14:textId="77777777" w:rsidR="005F1074" w:rsidRDefault="00000000">
      <w:pPr>
        <w:spacing w:after="140"/>
        <w:jc w:val="both"/>
      </w:pPr>
      <w:r w:rsidRPr="003B4715">
        <w:rPr>
          <w:rFonts w:ascii="Poppins" w:eastAsia="Poppins" w:hAnsi="Poppins" w:cs="Poppins"/>
          <w:color w:val="28221E"/>
          <w:sz w:val="21"/>
          <w:szCs w:val="21"/>
          <w:lang w:val="de-DE"/>
        </w:rPr>
        <w:t xml:space="preserve">(3) Während des Bestehens des Arbeitsvertrages ist es dem Arbeitnehmer nicht gestattet, sich direkt oder indirekt an einem im Wettbewerb zum Arbeitgeber stehenden Unternehmen zu beteiligen. </w:t>
      </w:r>
      <w:proofErr w:type="spellStart"/>
      <w:r>
        <w:rPr>
          <w:rFonts w:ascii="Poppins" w:eastAsia="Poppins" w:hAnsi="Poppins" w:cs="Poppins"/>
          <w:color w:val="28221E"/>
          <w:sz w:val="21"/>
          <w:szCs w:val="21"/>
        </w:rPr>
        <w:t>Ausgenommen</w:t>
      </w:r>
      <w:proofErr w:type="spellEnd"/>
      <w:r>
        <w:rPr>
          <w:rFonts w:ascii="Poppins" w:eastAsia="Poppins" w:hAnsi="Poppins" w:cs="Poppins"/>
          <w:color w:val="28221E"/>
          <w:sz w:val="21"/>
          <w:szCs w:val="21"/>
        </w:rPr>
        <w:t xml:space="preserve"> </w:t>
      </w:r>
      <w:proofErr w:type="spellStart"/>
      <w:r>
        <w:rPr>
          <w:rFonts w:ascii="Poppins" w:eastAsia="Poppins" w:hAnsi="Poppins" w:cs="Poppins"/>
          <w:color w:val="28221E"/>
          <w:sz w:val="21"/>
          <w:szCs w:val="21"/>
        </w:rPr>
        <w:t>hiervon</w:t>
      </w:r>
      <w:proofErr w:type="spellEnd"/>
      <w:r>
        <w:rPr>
          <w:rFonts w:ascii="Poppins" w:eastAsia="Poppins" w:hAnsi="Poppins" w:cs="Poppins"/>
          <w:color w:val="28221E"/>
          <w:sz w:val="21"/>
          <w:szCs w:val="21"/>
        </w:rPr>
        <w:t xml:space="preserve"> </w:t>
      </w:r>
      <w:proofErr w:type="spellStart"/>
      <w:r>
        <w:rPr>
          <w:rFonts w:ascii="Poppins" w:eastAsia="Poppins" w:hAnsi="Poppins" w:cs="Poppins"/>
          <w:color w:val="28221E"/>
          <w:sz w:val="21"/>
          <w:szCs w:val="21"/>
        </w:rPr>
        <w:t>sind</w:t>
      </w:r>
      <w:proofErr w:type="spellEnd"/>
      <w:r>
        <w:rPr>
          <w:rFonts w:ascii="Poppins" w:eastAsia="Poppins" w:hAnsi="Poppins" w:cs="Poppins"/>
          <w:color w:val="28221E"/>
          <w:sz w:val="21"/>
          <w:szCs w:val="21"/>
        </w:rPr>
        <w:t xml:space="preserve"> </w:t>
      </w:r>
      <w:proofErr w:type="spellStart"/>
      <w:r>
        <w:rPr>
          <w:rFonts w:ascii="Poppins" w:eastAsia="Poppins" w:hAnsi="Poppins" w:cs="Poppins"/>
          <w:color w:val="28221E"/>
          <w:sz w:val="21"/>
          <w:szCs w:val="21"/>
        </w:rPr>
        <w:t>bloße</w:t>
      </w:r>
      <w:proofErr w:type="spellEnd"/>
      <w:r>
        <w:rPr>
          <w:rFonts w:ascii="Poppins" w:eastAsia="Poppins" w:hAnsi="Poppins" w:cs="Poppins"/>
          <w:color w:val="28221E"/>
          <w:sz w:val="21"/>
          <w:szCs w:val="21"/>
        </w:rPr>
        <w:t xml:space="preserve"> </w:t>
      </w:r>
      <w:proofErr w:type="spellStart"/>
      <w:r>
        <w:rPr>
          <w:rFonts w:ascii="Poppins" w:eastAsia="Poppins" w:hAnsi="Poppins" w:cs="Poppins"/>
          <w:color w:val="28221E"/>
          <w:sz w:val="21"/>
          <w:szCs w:val="21"/>
        </w:rPr>
        <w:t>Finanzbeteiligungen</w:t>
      </w:r>
      <w:proofErr w:type="spellEnd"/>
      <w:r>
        <w:rPr>
          <w:rFonts w:ascii="Poppins" w:eastAsia="Poppins" w:hAnsi="Poppins" w:cs="Poppins"/>
          <w:color w:val="28221E"/>
          <w:sz w:val="21"/>
          <w:szCs w:val="21"/>
        </w:rPr>
        <w:t>.</w:t>
      </w:r>
    </w:p>
    <w:p w14:paraId="56FA68CD" w14:textId="77777777" w:rsidR="005F1074" w:rsidRDefault="005F1074">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64B0C230"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5F935CB5" w14:textId="1BFD43DB" w:rsidR="005F1074" w:rsidRPr="003B4715" w:rsidRDefault="00000000">
            <w:pPr>
              <w:spacing w:after="60"/>
              <w:rPr>
                <w:lang w:val="de-DE"/>
              </w:rPr>
            </w:pPr>
            <w:r w:rsidRPr="003B4715">
              <w:rPr>
                <w:rFonts w:ascii="Poppins" w:eastAsia="Poppins" w:hAnsi="Poppins" w:cs="Poppins"/>
                <w:b/>
                <w:bCs/>
                <w:color w:val="7B1013"/>
                <w:lang w:val="de-DE"/>
              </w:rPr>
              <w:t xml:space="preserve"> Warum ist das wichtig?</w:t>
            </w:r>
          </w:p>
          <w:p w14:paraId="33587C99" w14:textId="77777777" w:rsidR="005F1074" w:rsidRPr="003B4715" w:rsidRDefault="00000000">
            <w:pPr>
              <w:jc w:val="both"/>
              <w:rPr>
                <w:lang w:val="de-DE"/>
              </w:rPr>
            </w:pPr>
            <w:r w:rsidRPr="003B4715">
              <w:rPr>
                <w:rFonts w:ascii="Poppins" w:eastAsia="Poppins" w:hAnsi="Poppins" w:cs="Poppins"/>
                <w:i/>
                <w:iCs/>
                <w:color w:val="28221E"/>
                <w:lang w:val="de-DE"/>
              </w:rPr>
              <w:t>Diese Klausel ist keine Pflicht, sondern schützt Ihr Unternehmen vor Interessenkonflikten, wenn Mitarbeitende nebenbei für die Konkurrenz tätig werden. Für die meisten Positionen reicht eine einfache Zustimmungspflicht wie hier aus. Ein nachvertragliches Wettbewerbsverbot – also eines, das auch nach Vertragsende gilt – ist ein eigenes, deutlich komplexeres Thema mit eigener Entschädigungspflicht und gehört nicht in diese Standardklausel.</w:t>
            </w:r>
          </w:p>
        </w:tc>
      </w:tr>
    </w:tbl>
    <w:p w14:paraId="6C1685A6" w14:textId="77777777" w:rsidR="005F1074" w:rsidRPr="003B4715" w:rsidRDefault="005F1074">
      <w:pPr>
        <w:spacing w:after="200"/>
        <w:rPr>
          <w:lang w:val="de-DE"/>
        </w:rPr>
      </w:pPr>
    </w:p>
    <w:p w14:paraId="371225D2"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lastRenderedPageBreak/>
        <w:t>§ 8 Geheimhaltung</w:t>
      </w:r>
      <w:proofErr w:type="gramStart"/>
      <w:r w:rsidRPr="003B4715">
        <w:rPr>
          <w:rFonts w:ascii="Poppins" w:eastAsia="Poppins" w:hAnsi="Poppins" w:cs="Poppins"/>
          <w:b/>
          <w:bCs/>
          <w:i/>
          <w:iCs/>
          <w:color w:val="B01B1B"/>
          <w:lang w:val="de-DE"/>
        </w:rPr>
        <w:t xml:space="preserve">   (</w:t>
      </w:r>
      <w:proofErr w:type="gramEnd"/>
      <w:r w:rsidRPr="003B4715">
        <w:rPr>
          <w:rFonts w:ascii="Poppins" w:eastAsia="Poppins" w:hAnsi="Poppins" w:cs="Poppins"/>
          <w:b/>
          <w:bCs/>
          <w:i/>
          <w:iCs/>
          <w:color w:val="B01B1B"/>
          <w:lang w:val="de-DE"/>
        </w:rPr>
        <w:t>Optional / anpassbar)</w:t>
      </w:r>
    </w:p>
    <w:p w14:paraId="4E41AE26"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(1) Der Arbeitnehmer ist verpflichtet, Geschäftsgeheimnisse sowie betriebliche Angelegenheiten vertraulicher Natur, die als solche bezeichnet werden oder offensichtlich als solche zu erkennen sind, geheim zu halten und ohne ausdrückliche Genehmigung keinen Dritten zugänglich zu machen. Diese Pflicht erstreckt sich auch auf Angelegenheiten wirtschaftlich oder organisatorisch verbundener Unternehmen. Die Geheimhaltung ist sowohl gegenüber Außenstehenden als auch gegenüber nicht unmittelbar befassten Mitarbeitenden zu wahren.</w:t>
      </w:r>
    </w:p>
    <w:p w14:paraId="48C2BEDF"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Die Geheimhaltungspflicht beginnt mit Unterzeichnung dieses Vertrags und gilt auch über die Beendigung des Arbeitsverhältnisses hinaus fort.</w:t>
      </w:r>
    </w:p>
    <w:p w14:paraId="72214D65"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(3) Der Arbeitnehmer wird die allgemeinen und speziellen Anweisungen des Arbeitgebers zur Geheimhaltung beachten und im Zweifelsfall Weisung einholen.</w:t>
      </w:r>
    </w:p>
    <w:p w14:paraId="02A31A79"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(4) Vorträge oder Veröffentlichungen, welche die Interessen, Geschäftsfelder oder Produkte des Arbeitgebers berühren, bedürfen der vorherigen schriftlichen Einwilligung des Arbeitgebers.</w:t>
      </w:r>
    </w:p>
    <w:p w14:paraId="463B5452"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5459B3F1"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6D1EA8C0" w14:textId="31A28908" w:rsidR="005F1074" w:rsidRPr="003B4715" w:rsidRDefault="00000000">
            <w:pPr>
              <w:spacing w:after="60"/>
              <w:rPr>
                <w:lang w:val="de-DE"/>
              </w:rPr>
            </w:pPr>
            <w:r w:rsidRPr="003B4715">
              <w:rPr>
                <w:rFonts w:ascii="Poppins" w:eastAsia="Poppins" w:hAnsi="Poppins" w:cs="Poppins"/>
                <w:b/>
                <w:bCs/>
                <w:color w:val="7B1013"/>
                <w:lang w:val="de-DE"/>
              </w:rPr>
              <w:t>Warum ist das wichtig?</w:t>
            </w:r>
          </w:p>
          <w:p w14:paraId="4C3CD239" w14:textId="77777777" w:rsidR="005F1074" w:rsidRPr="003B4715" w:rsidRDefault="00000000">
            <w:pPr>
              <w:jc w:val="both"/>
              <w:rPr>
                <w:lang w:val="de-DE"/>
              </w:rPr>
            </w:pPr>
            <w:r w:rsidRPr="003B4715">
              <w:rPr>
                <w:rFonts w:ascii="Poppins" w:eastAsia="Poppins" w:hAnsi="Poppins" w:cs="Poppins"/>
                <w:i/>
                <w:iCs/>
                <w:color w:val="28221E"/>
                <w:lang w:val="de-DE"/>
              </w:rPr>
              <w:t>Ein Vertrag verpflichtet niemanden automatisch zur Verschwiegenheit über Geschäftsgeheimnisse – das Gesetz zum Schutz von Geschäftsgeheimnissen (</w:t>
            </w:r>
            <w:proofErr w:type="spellStart"/>
            <w:r w:rsidRPr="003B4715">
              <w:rPr>
                <w:rFonts w:ascii="Poppins" w:eastAsia="Poppins" w:hAnsi="Poppins" w:cs="Poppins"/>
                <w:i/>
                <w:iCs/>
                <w:color w:val="28221E"/>
                <w:lang w:val="de-DE"/>
              </w:rPr>
              <w:t>GeschGehG</w:t>
            </w:r>
            <w:proofErr w:type="spellEnd"/>
            <w:r w:rsidRPr="003B4715">
              <w:rPr>
                <w:rFonts w:ascii="Poppins" w:eastAsia="Poppins" w:hAnsi="Poppins" w:cs="Poppins"/>
                <w:i/>
                <w:iCs/>
                <w:color w:val="28221E"/>
                <w:lang w:val="de-DE"/>
              </w:rPr>
              <w:t>) hilft nur, wenn Sie selbst angemessene Geheimhaltungsmaßnahmen nachweisen können. Eine klare Vertragsklausel wie diese zählt zu genau solchen Maßnahmen und ist deshalb in der Praxis kaum verzichtbar, auch wenn sie gesetzlich nicht zwingend vorgeschrieben ist.</w:t>
            </w:r>
          </w:p>
        </w:tc>
      </w:tr>
    </w:tbl>
    <w:p w14:paraId="1058F939" w14:textId="77777777" w:rsidR="005F1074" w:rsidRPr="003B4715" w:rsidRDefault="005F1074">
      <w:pPr>
        <w:spacing w:after="200"/>
        <w:rPr>
          <w:lang w:val="de-DE"/>
        </w:rPr>
      </w:pPr>
    </w:p>
    <w:p w14:paraId="405DBCEC"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9 Urheberrechte und verwandte Schutzrechte</w:t>
      </w:r>
      <w:proofErr w:type="gramStart"/>
      <w:r w:rsidRPr="003B4715">
        <w:rPr>
          <w:rFonts w:ascii="Poppins" w:eastAsia="Poppins" w:hAnsi="Poppins" w:cs="Poppins"/>
          <w:b/>
          <w:bCs/>
          <w:i/>
          <w:iCs/>
          <w:color w:val="B01B1B"/>
          <w:lang w:val="de-DE"/>
        </w:rPr>
        <w:t xml:space="preserve">   (</w:t>
      </w:r>
      <w:proofErr w:type="gramEnd"/>
      <w:r w:rsidRPr="003B4715">
        <w:rPr>
          <w:rFonts w:ascii="Poppins" w:eastAsia="Poppins" w:hAnsi="Poppins" w:cs="Poppins"/>
          <w:b/>
          <w:bCs/>
          <w:i/>
          <w:iCs/>
          <w:color w:val="B01B1B"/>
          <w:lang w:val="de-DE"/>
        </w:rPr>
        <w:t>Optional / anpassbar)</w:t>
      </w:r>
    </w:p>
    <w:p w14:paraId="672592EE"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(1) Der Arbeitnehmer überträgt sämtliche Rechte an Arbeitsergebnissen – insbesondere Markenrechte, Nutzungsrechte an Urheberrechten, Geschmacksmusterrechte, verwandte Schutzrechte und sonstige Immaterialgüterrechte, die während der Tätigkeit erworben werden – zeitlich, räumlich und inhaltlich unbeschränkt auf den Arbeitgeber, wenn diese (a) im Zusammenhang mit den betrieblichen Aktivitäten erworben wurden, (b) unter Verwendung von Material und/oder Arbeitszeit des Arbeitgebers entwickelt wurden, oder (c) mit der Arbeit während der Vertragslaufzeit zusammenhängen.</w:t>
      </w:r>
    </w:p>
    <w:p w14:paraId="2782B590"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Die Übertragung schließt auch Rechte ein, die vor Aufnahme der Tätigkeit erworben wurden, sofern die Voraussetzungen aus Absatz (1) zutreffen.</w:t>
      </w:r>
    </w:p>
    <w:p w14:paraId="5C7C2DE0"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(3) Die Übertragung umfasst insbesondere die Befugnis des Arbeitgebers, die Werke im In- und Ausland zu nutzen, zu vervielfältigen, zu verbreiten und öffentlich wiederzugeben, auch in digitaler Form und über alle bekannten Übertragungswege.</w:t>
      </w:r>
    </w:p>
    <w:p w14:paraId="22F8DF0A"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(4) Die Regelung des § 69b Urheberrechtsgesetz zur Urheberschaft in Arbeitsverhältnissen bleibt unberührt.</w:t>
      </w:r>
    </w:p>
    <w:p w14:paraId="4091555B"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lastRenderedPageBreak/>
        <w:t>(5) Die Rechte sind dem Arbeitgeber spätestens mit Entstehung als ausschließliche Rechte übertragen und können vom Arbeitgeber ganz oder teilweise an Dritte weiterübertragen werden.</w:t>
      </w:r>
    </w:p>
    <w:p w14:paraId="22844BEB"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(6) Der Arbeitnehmer räumt dem Arbeitgeber das Recht ein, die geschaffenen Werke zu bearbeiten, zu ändern sowie die bearbeiteten Werke zu vervielfältigen, zu veröffentlichen und zu verbreiten.</w:t>
      </w:r>
    </w:p>
    <w:p w14:paraId="48613144"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(7) Eine Verpflichtung des Arbeitgebers zur Anmeldung oder Verwertung der Nutzungsrechte besteht nicht. Ein etwaiges </w:t>
      </w:r>
      <w:proofErr w:type="spellStart"/>
      <w:r w:rsidRPr="003B4715">
        <w:rPr>
          <w:rFonts w:ascii="Poppins" w:eastAsia="Poppins" w:hAnsi="Poppins" w:cs="Poppins"/>
          <w:color w:val="28221E"/>
          <w:sz w:val="21"/>
          <w:szCs w:val="21"/>
          <w:lang w:val="de-DE"/>
        </w:rPr>
        <w:t>Rückrufsrecht</w:t>
      </w:r>
      <w:proofErr w:type="spellEnd"/>
      <w:r w:rsidRPr="003B4715">
        <w:rPr>
          <w:rFonts w:ascii="Poppins" w:eastAsia="Poppins" w:hAnsi="Poppins" w:cs="Poppins"/>
          <w:color w:val="28221E"/>
          <w:sz w:val="21"/>
          <w:szCs w:val="21"/>
          <w:lang w:val="de-DE"/>
        </w:rPr>
        <w:t xml:space="preserve"> wegen Nichtausübung ist für die Dauer von fünf Jahren ab Übertragung ausgeschlossen.</w:t>
      </w:r>
    </w:p>
    <w:p w14:paraId="53ABCEB3"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(8) Der Arbeitnehmer ist damit einverstanden, dass im Rahmen der Verwertung der vertragsgegenständlichen Rechte keine Benennung als Urheber gemäß § 13 Satz 2 Urheberrechtsgesetz erfolgt.</w:t>
      </w:r>
    </w:p>
    <w:p w14:paraId="0125906F"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(9) Sämtliche vom Arbeitnehmer geschaffenen Werke sind Bestandteil der Arbeitsaufgabe im Sinne von § 1 Absatz 1 und mit der Vergütung gemäß § 4 dieses Vertrags vollständig abgegolten. Dies gilt auch für die Zeit nach Ende des Arbeitsverhältnisses.</w:t>
      </w:r>
    </w:p>
    <w:p w14:paraId="192298EA"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73CCF9E9"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5F511163" w14:textId="32F6C7C2" w:rsidR="005F1074" w:rsidRPr="003B4715" w:rsidRDefault="00000000">
            <w:pPr>
              <w:spacing w:after="60"/>
              <w:rPr>
                <w:lang w:val="de-DE"/>
              </w:rPr>
            </w:pPr>
            <w:r w:rsidRPr="003B4715">
              <w:rPr>
                <w:rFonts w:ascii="Poppins" w:eastAsia="Poppins" w:hAnsi="Poppins" w:cs="Poppins"/>
                <w:b/>
                <w:bCs/>
                <w:color w:val="7B1013"/>
                <w:lang w:val="de-DE"/>
              </w:rPr>
              <w:t>Warum ist das wichtig?</w:t>
            </w:r>
          </w:p>
          <w:p w14:paraId="4414FA23" w14:textId="77777777" w:rsidR="005F1074" w:rsidRPr="003B4715" w:rsidRDefault="00000000">
            <w:pPr>
              <w:jc w:val="both"/>
              <w:rPr>
                <w:lang w:val="de-DE"/>
              </w:rPr>
            </w:pPr>
            <w:r w:rsidRPr="003B4715">
              <w:rPr>
                <w:rFonts w:ascii="Poppins" w:eastAsia="Poppins" w:hAnsi="Poppins" w:cs="Poppins"/>
                <w:i/>
                <w:iCs/>
                <w:color w:val="28221E"/>
                <w:lang w:val="de-DE"/>
              </w:rPr>
              <w:t xml:space="preserve">Ohne eine solche Klausel behält </w:t>
            </w:r>
            <w:proofErr w:type="spellStart"/>
            <w:proofErr w:type="gramStart"/>
            <w:r w:rsidRPr="003B4715">
              <w:rPr>
                <w:rFonts w:ascii="Poppins" w:eastAsia="Poppins" w:hAnsi="Poppins" w:cs="Poppins"/>
                <w:i/>
                <w:iCs/>
                <w:color w:val="28221E"/>
                <w:lang w:val="de-DE"/>
              </w:rPr>
              <w:t>ein:e</w:t>
            </w:r>
            <w:proofErr w:type="spellEnd"/>
            <w:proofErr w:type="gramEnd"/>
            <w:r w:rsidRPr="003B4715">
              <w:rPr>
                <w:rFonts w:ascii="Poppins" w:eastAsia="Poppins" w:hAnsi="Poppins" w:cs="Poppins"/>
                <w:i/>
                <w:iCs/>
                <w:color w:val="28221E"/>
                <w:lang w:val="de-DE"/>
              </w:rPr>
              <w:t xml:space="preserve"> </w:t>
            </w:r>
            <w:proofErr w:type="spellStart"/>
            <w:r w:rsidRPr="003B4715">
              <w:rPr>
                <w:rFonts w:ascii="Poppins" w:eastAsia="Poppins" w:hAnsi="Poppins" w:cs="Poppins"/>
                <w:i/>
                <w:iCs/>
                <w:color w:val="28221E"/>
                <w:lang w:val="de-DE"/>
              </w:rPr>
              <w:t>Mitarbeiter:in</w:t>
            </w:r>
            <w:proofErr w:type="spellEnd"/>
            <w:r w:rsidRPr="003B4715">
              <w:rPr>
                <w:rFonts w:ascii="Poppins" w:eastAsia="Poppins" w:hAnsi="Poppins" w:cs="Poppins"/>
                <w:i/>
                <w:iCs/>
                <w:color w:val="28221E"/>
                <w:lang w:val="de-DE"/>
              </w:rPr>
              <w:t xml:space="preserve"> unter Umständen eigene Rechte an Texten, Designs, Fotos oder Kampagnen, die während der Arbeitszeit entstehen. Für Positionen mit kreativem oder redaktionellem Anteil – etwa im Marketing, Design oder in der Softwareentwicklung – ist diese Regelung besonders wichtig, damit Ihr Unternehmen die erstellten Inhalte uneingeschränkt weiternutzen kann. Für rein administrative Rollen ohne kreativen Output ist sie oft entbehrlich.</w:t>
            </w:r>
          </w:p>
        </w:tc>
      </w:tr>
    </w:tbl>
    <w:p w14:paraId="199C60C0" w14:textId="77777777" w:rsidR="005F1074" w:rsidRPr="003B4715" w:rsidRDefault="005F1074">
      <w:pPr>
        <w:spacing w:after="200"/>
        <w:rPr>
          <w:lang w:val="de-DE"/>
        </w:rPr>
      </w:pPr>
    </w:p>
    <w:p w14:paraId="1F385807"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10 Telefon-, EDV- und E-Mail-Nutzung</w:t>
      </w:r>
      <w:proofErr w:type="gramStart"/>
      <w:r w:rsidRPr="003B4715">
        <w:rPr>
          <w:rFonts w:ascii="Poppins" w:eastAsia="Poppins" w:hAnsi="Poppins" w:cs="Poppins"/>
          <w:b/>
          <w:bCs/>
          <w:i/>
          <w:iCs/>
          <w:color w:val="B01B1B"/>
          <w:lang w:val="de-DE"/>
        </w:rPr>
        <w:t xml:space="preserve">   (</w:t>
      </w:r>
      <w:proofErr w:type="gramEnd"/>
      <w:r w:rsidRPr="003B4715">
        <w:rPr>
          <w:rFonts w:ascii="Poppins" w:eastAsia="Poppins" w:hAnsi="Poppins" w:cs="Poppins"/>
          <w:b/>
          <w:bCs/>
          <w:i/>
          <w:iCs/>
          <w:color w:val="B01B1B"/>
          <w:lang w:val="de-DE"/>
        </w:rPr>
        <w:t>Optional / anpassbar)</w:t>
      </w:r>
    </w:p>
    <w:p w14:paraId="4F95D9D0"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(1) Die betrieblichen EDV-Einrichtungen, Telekommunikationseinrichtungen und Kopiergeräte dürfen nur zu arbeitsvertraglichen Zwecken genutzt werden. Kurze dienstlich veranlasste Privattelefonate sind zulässig, jedoch auf das erforderliche Maß zu beschränken.</w:t>
      </w:r>
    </w:p>
    <w:p w14:paraId="42D1CF2A"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Die Verpflichtung zur ausschließlich dienstlichen Nutzung gilt insbesondere für E-Mail und Internet. Erhält der Arbeitnehmer dennoch E-Mails privaten Inhalts, sind diese unverzüglich und vollständig zu löschen.</w:t>
      </w:r>
    </w:p>
    <w:p w14:paraId="0605467E"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62A8DC70"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136E0726" w14:textId="405A390A" w:rsidR="005F1074" w:rsidRPr="003B4715" w:rsidRDefault="00000000">
            <w:pPr>
              <w:spacing w:after="60"/>
              <w:rPr>
                <w:lang w:val="de-DE"/>
              </w:rPr>
            </w:pPr>
            <w:r w:rsidRPr="003B4715">
              <w:rPr>
                <w:rFonts w:ascii="Poppins" w:eastAsia="Poppins" w:hAnsi="Poppins" w:cs="Poppins"/>
                <w:b/>
                <w:bCs/>
                <w:color w:val="7B1013"/>
                <w:lang w:val="de-DE"/>
              </w:rPr>
              <w:t xml:space="preserve"> Warum ist das wichtig?</w:t>
            </w:r>
          </w:p>
          <w:p w14:paraId="7F14F932" w14:textId="77777777" w:rsidR="005F1074" w:rsidRPr="003B4715" w:rsidRDefault="00000000">
            <w:pPr>
              <w:jc w:val="both"/>
              <w:rPr>
                <w:lang w:val="de-DE"/>
              </w:rPr>
            </w:pPr>
            <w:r w:rsidRPr="003B4715">
              <w:rPr>
                <w:rFonts w:ascii="Poppins" w:eastAsia="Poppins" w:hAnsi="Poppins" w:cs="Poppins"/>
                <w:i/>
                <w:iCs/>
                <w:color w:val="28221E"/>
                <w:lang w:val="de-DE"/>
              </w:rPr>
              <w:t>Diese Klausel legt fest, wie Firmengeräte und -zugänge genutzt werden dürfen. Sie ist sinnvoll, wenn Sie eine klare Grundlage für den Umgang mit privater Nutzung schaffen möchten – ohne eine solche Regelung ist die Rechtslage rund um dienstliche E-Mail-Postfächer für Arbeitgeber deutlich unklarer und risikoreicher.</w:t>
            </w:r>
          </w:p>
        </w:tc>
      </w:tr>
    </w:tbl>
    <w:p w14:paraId="031D9679" w14:textId="77777777" w:rsidR="005F1074" w:rsidRPr="003B4715" w:rsidRDefault="005F1074">
      <w:pPr>
        <w:spacing w:after="200"/>
        <w:rPr>
          <w:lang w:val="de-DE"/>
        </w:rPr>
      </w:pPr>
    </w:p>
    <w:p w14:paraId="21225502"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lastRenderedPageBreak/>
        <w:t>§ 11 Dauer, Beendigung und Ruhen des Arbeitsverhältnisses</w:t>
      </w:r>
      <w:proofErr w:type="gramStart"/>
      <w:r w:rsidRPr="003B4715">
        <w:rPr>
          <w:rFonts w:ascii="Poppins" w:eastAsia="Poppins" w:hAnsi="Poppins" w:cs="Poppins"/>
          <w:b/>
          <w:bCs/>
          <w:i/>
          <w:iCs/>
          <w:color w:val="B01B1B"/>
          <w:lang w:val="de-DE"/>
        </w:rPr>
        <w:t xml:space="preserve">   (</w:t>
      </w:r>
      <w:proofErr w:type="gramEnd"/>
      <w:r w:rsidRPr="003B4715">
        <w:rPr>
          <w:rFonts w:ascii="Poppins" w:eastAsia="Poppins" w:hAnsi="Poppins" w:cs="Poppins"/>
          <w:b/>
          <w:bCs/>
          <w:i/>
          <w:iCs/>
          <w:color w:val="B01B1B"/>
          <w:lang w:val="de-DE"/>
        </w:rPr>
        <w:t>Optional / anpassbar)</w:t>
      </w:r>
    </w:p>
    <w:p w14:paraId="3D23F848"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(1) Der Arbeitgeber kann den Arbeitnehmer im Fall einer Kündigung unter Anrechnung auf bestehende Urlaubs- oder Freizeitausgleichsansprüche unwiderruflich von der Arbeitsleistung freistellen; darüber hinaus auch unter Fortzahlung der Bezüge, soweit das Interesse des Arbeitgebers daran überwiegt.</w:t>
      </w:r>
    </w:p>
    <w:p w14:paraId="27F8C8BC"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Das Arbeitsverhältnis endet ohne Kündigung mit Ablauf des Monats, in dem der Arbeitnehmer die Voraussetzungen für den Bezug einer ungekürzten Rente wegen Alters erfüllt hat.</w:t>
      </w:r>
    </w:p>
    <w:p w14:paraId="0E39A154"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(3) Das Arbeitsverhältnis endet ferner ohne Kündigung mit Ablauf des Monats, in dem </w:t>
      </w:r>
      <w:proofErr w:type="spellStart"/>
      <w:r w:rsidRPr="003B4715">
        <w:rPr>
          <w:rFonts w:ascii="Poppins" w:eastAsia="Poppins" w:hAnsi="Poppins" w:cs="Poppins"/>
          <w:color w:val="28221E"/>
          <w:sz w:val="21"/>
          <w:szCs w:val="21"/>
          <w:lang w:val="de-DE"/>
        </w:rPr>
        <w:t>dem</w:t>
      </w:r>
      <w:proofErr w:type="spellEnd"/>
      <w:r w:rsidRPr="003B4715">
        <w:rPr>
          <w:rFonts w:ascii="Poppins" w:eastAsia="Poppins" w:hAnsi="Poppins" w:cs="Poppins"/>
          <w:color w:val="28221E"/>
          <w:sz w:val="21"/>
          <w:szCs w:val="21"/>
          <w:lang w:val="de-DE"/>
        </w:rPr>
        <w:t xml:space="preserve"> Arbeitnehmer ein Bescheid über eine unbefristete Rente wegen voller Erwerbsminderung zugestellt wird. Ist der Arbeitnehmer schwerbehindert oder gleichgestellt, endet das Arbeitsverhältnis erst nach Zustimmung des Integrationsamtes. Der Arbeitnehmer hat eine Schwerbehinderung unverzüglich offenzulegen.</w:t>
      </w:r>
    </w:p>
    <w:p w14:paraId="53EEBC80"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(4) Abweichend von Absatz (3) endet das Arbeitsverhältnis nicht, wenn eine Weiterbeschäftigung auf einem geeigneten, freien Arbeitsplatz möglich ist und innerhalb von zwei Wochen in Textform beantragt wird.</w:t>
      </w:r>
    </w:p>
    <w:p w14:paraId="08C2620E"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(5) Wird eine Rente auf Zeit wegen voller Erwerbsminderung bewilligt, ruht das Arbeitsverhältnis während des Rentenbezugs, längstens bis zum Beendigungszeitpunkt nach Absatz (3).</w:t>
      </w:r>
    </w:p>
    <w:p w14:paraId="2438679D"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(6) Der Arbeitnehmer ist verpflichtet, den Arbeitgeber binnen zwei Wochen über den Bezug einer Altersrente oder Erwerbsminderungsrente zu informieren und auf Anfrage über den Stand entsprechender Anträge zu unterrichten.</w:t>
      </w:r>
    </w:p>
    <w:p w14:paraId="22EBB22D"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5A6FC16D"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471F2E68" w14:textId="604B0D1F" w:rsidR="005F1074" w:rsidRPr="003B4715" w:rsidRDefault="00000000">
            <w:pPr>
              <w:spacing w:after="60"/>
              <w:rPr>
                <w:lang w:val="de-DE"/>
              </w:rPr>
            </w:pPr>
            <w:r w:rsidRPr="003B4715">
              <w:rPr>
                <w:rFonts w:ascii="Poppins" w:eastAsia="Poppins" w:hAnsi="Poppins" w:cs="Poppins"/>
                <w:b/>
                <w:bCs/>
                <w:color w:val="7B1013"/>
                <w:lang w:val="de-DE"/>
              </w:rPr>
              <w:t xml:space="preserve"> Warum ist das wichtig?</w:t>
            </w:r>
          </w:p>
          <w:p w14:paraId="12441F41" w14:textId="77777777" w:rsidR="005F1074" w:rsidRPr="003B4715" w:rsidRDefault="00000000">
            <w:pPr>
              <w:jc w:val="both"/>
              <w:rPr>
                <w:lang w:val="de-DE"/>
              </w:rPr>
            </w:pPr>
            <w:r w:rsidRPr="003B4715">
              <w:rPr>
                <w:rFonts w:ascii="Poppins" w:eastAsia="Poppins" w:hAnsi="Poppins" w:cs="Poppins"/>
                <w:i/>
                <w:iCs/>
                <w:color w:val="28221E"/>
                <w:lang w:val="de-DE"/>
              </w:rPr>
              <w:t>Diese Regelungen greifen vor allem gegen Ende eines Erwerbslebens (Renteneintritt, Erwerbsminderung) und sind besonders für langfristige Anstellungsverhältnisse relevant. Für kleinere Unternehmen mit überwiegend jüngeren Teams ist der Abschnitt oft nicht dringend, kann aber vorsorglich aufgenommen werden.</w:t>
            </w:r>
          </w:p>
        </w:tc>
      </w:tr>
    </w:tbl>
    <w:p w14:paraId="0C5C5103" w14:textId="77777777" w:rsidR="005F1074" w:rsidRPr="003B4715" w:rsidRDefault="005F1074">
      <w:pPr>
        <w:spacing w:after="200"/>
        <w:rPr>
          <w:lang w:val="de-DE"/>
        </w:rPr>
      </w:pPr>
    </w:p>
    <w:p w14:paraId="4C9C8E78"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12 Herausgabe von Arbeitsmitteln und Unterlagen</w:t>
      </w:r>
      <w:proofErr w:type="gramStart"/>
      <w:r w:rsidRPr="003B4715">
        <w:rPr>
          <w:rFonts w:ascii="Poppins" w:eastAsia="Poppins" w:hAnsi="Poppins" w:cs="Poppins"/>
          <w:b/>
          <w:bCs/>
          <w:i/>
          <w:iCs/>
          <w:color w:val="B01B1B"/>
          <w:lang w:val="de-DE"/>
        </w:rPr>
        <w:t xml:space="preserve">   (</w:t>
      </w:r>
      <w:proofErr w:type="gramEnd"/>
      <w:r w:rsidRPr="003B4715">
        <w:rPr>
          <w:rFonts w:ascii="Poppins" w:eastAsia="Poppins" w:hAnsi="Poppins" w:cs="Poppins"/>
          <w:b/>
          <w:bCs/>
          <w:i/>
          <w:iCs/>
          <w:color w:val="B01B1B"/>
          <w:lang w:val="de-DE"/>
        </w:rPr>
        <w:t>Optional / anpassbar)</w:t>
      </w:r>
    </w:p>
    <w:p w14:paraId="2D127C25"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(1) Der Arbeitnehmer hat auf Verlangen des Arbeitgebers – auch bei längerer Abwesenheit, Kündigung oder Freistellung – sämtliche Arbeitsunterlagen, -mittel und -ergebnisse, gleich auf welchem Datenträger, an den Arbeitgeber zurückzugeben. Bei Beendigung des Arbeitsverhältnisses hat dies unaufgefordert zu erfolgen.</w:t>
      </w:r>
    </w:p>
    <w:p w14:paraId="39315628"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Dieselbe Verpflichtung gilt für sämtliche weiteren Gegenstände im Eigentum des Arbeitgebers, wie Firmenfahrzeug, Zugangskarten, Schlüssel, Mobiltelefon oder Laptop.</w:t>
      </w:r>
    </w:p>
    <w:p w14:paraId="34C317A5"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63D536E7"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3B6EE9FC" w14:textId="42C5CCD9" w:rsidR="005F1074" w:rsidRPr="003B4715" w:rsidRDefault="00000000">
            <w:pPr>
              <w:spacing w:after="60"/>
              <w:rPr>
                <w:lang w:val="de-DE"/>
              </w:rPr>
            </w:pPr>
            <w:r w:rsidRPr="003B4715">
              <w:rPr>
                <w:rFonts w:ascii="Poppins" w:eastAsia="Poppins" w:hAnsi="Poppins" w:cs="Poppins"/>
                <w:b/>
                <w:bCs/>
                <w:color w:val="7B1013"/>
                <w:lang w:val="de-DE"/>
              </w:rPr>
              <w:lastRenderedPageBreak/>
              <w:t>Warum ist das wichtig?</w:t>
            </w:r>
          </w:p>
          <w:p w14:paraId="2913489B" w14:textId="77777777" w:rsidR="005F1074" w:rsidRPr="003B4715" w:rsidRDefault="00000000">
            <w:pPr>
              <w:jc w:val="both"/>
              <w:rPr>
                <w:lang w:val="de-DE"/>
              </w:rPr>
            </w:pPr>
            <w:r w:rsidRPr="003B4715">
              <w:rPr>
                <w:rFonts w:ascii="Poppins" w:eastAsia="Poppins" w:hAnsi="Poppins" w:cs="Poppins"/>
                <w:i/>
                <w:iCs/>
                <w:color w:val="28221E"/>
                <w:lang w:val="de-DE"/>
              </w:rPr>
              <w:t>Auch ohne diese Klausel müssen Mitarbeitende Firmeneigentum bei Vertragsende zurückgeben – das ergibt sich bereits aus dem Eigentumsrecht. Die Klausel macht diese Pflicht jedoch ausdrücklich und erspart Diskussionen darüber, was genau zurückzugeben ist.</w:t>
            </w:r>
          </w:p>
        </w:tc>
      </w:tr>
    </w:tbl>
    <w:p w14:paraId="05A81889" w14:textId="77777777" w:rsidR="005F1074" w:rsidRPr="003B4715" w:rsidRDefault="005F1074">
      <w:pPr>
        <w:spacing w:after="200"/>
        <w:rPr>
          <w:lang w:val="de-DE"/>
        </w:rPr>
      </w:pPr>
    </w:p>
    <w:p w14:paraId="1CC1E05E"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13 Ausschlussfristen</w:t>
      </w:r>
      <w:proofErr w:type="gramStart"/>
      <w:r w:rsidRPr="003B4715">
        <w:rPr>
          <w:rFonts w:ascii="Poppins" w:eastAsia="Poppins" w:hAnsi="Poppins" w:cs="Poppins"/>
          <w:b/>
          <w:bCs/>
          <w:i/>
          <w:iCs/>
          <w:color w:val="B01B1B"/>
          <w:lang w:val="de-DE"/>
        </w:rPr>
        <w:t xml:space="preserve">   (</w:t>
      </w:r>
      <w:proofErr w:type="gramEnd"/>
      <w:r w:rsidRPr="003B4715">
        <w:rPr>
          <w:rFonts w:ascii="Poppins" w:eastAsia="Poppins" w:hAnsi="Poppins" w:cs="Poppins"/>
          <w:b/>
          <w:bCs/>
          <w:i/>
          <w:iCs/>
          <w:color w:val="B01B1B"/>
          <w:lang w:val="de-DE"/>
        </w:rPr>
        <w:t>Optional / anpassbar)</w:t>
      </w:r>
    </w:p>
    <w:p w14:paraId="54C92A26"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(1) Alle beiderseitigen Ansprüche aus dem Arbeitsverhältnis und solche, die damit in Verbindung stehen, verfallen, wenn sie nicht innerhalb von drei Monaten nach Fälligkeit gegenüber der anderen Vertragspartei in Textform geltend gemacht worden sind.</w:t>
      </w:r>
    </w:p>
    <w:p w14:paraId="4462CFE4"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Lehnt die Gegenseite den Anspruch ab oder äußert sie sich nicht innerhalb von zwei Wochen nach Geltendmachung, verfällt der Anspruch, wenn er nicht innerhalb von drei Monaten nach Ablehnung oder Fristablauf gerichtlich geltend gemacht wird.</w:t>
      </w:r>
    </w:p>
    <w:p w14:paraId="1DCE40BC"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(3) Diese Ausschlussfristen gelten nicht für Ansprüche aus vorsätzlichen oder grob fahrlässigen Pflichtverletzungen, für Schäden aus der Verletzung des Lebens, des Körpers oder der Gesundheit, für Ansprüche auf Mindestlohn nach MiLoG, AEntG oder AÜG, sowie für sonstige Ansprüche, die kraft Gesetzes nicht durch eine Ausschlussfrist beschränkt werden dürfen.</w:t>
      </w:r>
    </w:p>
    <w:p w14:paraId="0C963D26"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5FB991F0"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7AB48DE7" w14:textId="5CBEA9D7" w:rsidR="005F1074" w:rsidRPr="003B4715" w:rsidRDefault="00000000">
            <w:pPr>
              <w:spacing w:after="60"/>
              <w:rPr>
                <w:lang w:val="de-DE"/>
              </w:rPr>
            </w:pPr>
            <w:r w:rsidRPr="003B4715">
              <w:rPr>
                <w:rFonts w:ascii="Poppins" w:eastAsia="Poppins" w:hAnsi="Poppins" w:cs="Poppins"/>
                <w:b/>
                <w:bCs/>
                <w:color w:val="7B1013"/>
                <w:lang w:val="de-DE"/>
              </w:rPr>
              <w:t>Warum ist das wichtig?</w:t>
            </w:r>
          </w:p>
          <w:p w14:paraId="7BB4D279" w14:textId="77777777" w:rsidR="005F1074" w:rsidRPr="003B4715" w:rsidRDefault="00000000">
            <w:pPr>
              <w:spacing w:after="80"/>
              <w:jc w:val="both"/>
              <w:rPr>
                <w:lang w:val="de-DE"/>
              </w:rPr>
            </w:pPr>
            <w:r w:rsidRPr="003B4715">
              <w:rPr>
                <w:rFonts w:ascii="Poppins" w:eastAsia="Poppins" w:hAnsi="Poppins" w:cs="Poppins"/>
                <w:i/>
                <w:iCs/>
                <w:color w:val="28221E"/>
                <w:lang w:val="de-DE"/>
              </w:rPr>
              <w:t>Ausschlussfristen sorgen dafür, dass gegenseitige Ansprüche – etwa auf ausstehenden Lohn oder Schadensersatz – innerhalb einer festen Frist geltend gemacht werden müssen, sonst verfallen sie. Das schafft Planungssicherheit auf beiden Seiten.</w:t>
            </w:r>
          </w:p>
          <w:p w14:paraId="62FB5A06" w14:textId="77777777" w:rsidR="005F1074" w:rsidRPr="003B4715" w:rsidRDefault="00000000">
            <w:pPr>
              <w:jc w:val="both"/>
              <w:rPr>
                <w:lang w:val="de-DE"/>
              </w:rPr>
            </w:pPr>
            <w:r w:rsidRPr="003B4715">
              <w:rPr>
                <w:rFonts w:ascii="Poppins" w:eastAsia="Poppins" w:hAnsi="Poppins" w:cs="Poppins"/>
                <w:b/>
                <w:bCs/>
                <w:color w:val="B01B1B"/>
                <w:lang w:val="de-DE"/>
              </w:rPr>
              <w:t xml:space="preserve">⚠ Praxishinweis: </w:t>
            </w:r>
            <w:r w:rsidRPr="003B4715">
              <w:rPr>
                <w:rFonts w:ascii="Poppins" w:eastAsia="Poppins" w:hAnsi="Poppins" w:cs="Poppins"/>
                <w:i/>
                <w:iCs/>
                <w:color w:val="28221E"/>
                <w:lang w:val="de-DE"/>
              </w:rPr>
              <w:t>Ansprüche auf den gesetzlichen Mindestlohn sowie auf Ersatz von Schäden an Leben, Körper oder Gesundheit lassen sich hiervon nicht ausschließen – diese bleiben immer bestehen, unabhängig von dieser Klausel.</w:t>
            </w:r>
          </w:p>
        </w:tc>
      </w:tr>
    </w:tbl>
    <w:p w14:paraId="6D208465" w14:textId="77777777" w:rsidR="005F1074" w:rsidRPr="003B4715" w:rsidRDefault="005F1074">
      <w:pPr>
        <w:spacing w:after="200"/>
        <w:rPr>
          <w:lang w:val="de-DE"/>
        </w:rPr>
      </w:pPr>
    </w:p>
    <w:p w14:paraId="1383F93A"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t>§ 14 Sonstige Vereinbarungen</w:t>
      </w:r>
      <w:proofErr w:type="gramStart"/>
      <w:r w:rsidRPr="003B4715">
        <w:rPr>
          <w:rFonts w:ascii="Poppins" w:eastAsia="Poppins" w:hAnsi="Poppins" w:cs="Poppins"/>
          <w:b/>
          <w:bCs/>
          <w:i/>
          <w:iCs/>
          <w:color w:val="B01B1B"/>
          <w:lang w:val="de-DE"/>
        </w:rPr>
        <w:t xml:space="preserve">   (</w:t>
      </w:r>
      <w:proofErr w:type="gramEnd"/>
      <w:r w:rsidRPr="003B4715">
        <w:rPr>
          <w:rFonts w:ascii="Poppins" w:eastAsia="Poppins" w:hAnsi="Poppins" w:cs="Poppins"/>
          <w:b/>
          <w:bCs/>
          <w:i/>
          <w:iCs/>
          <w:color w:val="B01B1B"/>
          <w:lang w:val="de-DE"/>
        </w:rPr>
        <w:t>Optional / anpassbar)</w:t>
      </w:r>
    </w:p>
    <w:p w14:paraId="48FCD427"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(1) Änderungen, Ergänzungen und die Aufhebung dieses Vertrags bedürfen zu ihrer Wirksamkeit der Schriftform; dies gilt auch für die Änderung dieser Schriftformklausel selbst. Vertragsänderungen durch betriebliche Übung sind damit ausgeschlossen. Das Schriftformerfordernis gilt nicht für Abreden, die unmittelbar zwischen den Parteien mündlich oder in Textform getroffen werden.</w:t>
      </w:r>
    </w:p>
    <w:p w14:paraId="2663AAD8"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(2) Mündliche Nebenabreden wurden nicht getroffen.</w:t>
      </w:r>
    </w:p>
    <w:p w14:paraId="589DEFAB"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(3) Sollten einzelne Bestimmungen dieses Vertrages unwirksam sein, bleibt die Gültigkeit der übrigen Bestimmungen unberührt. Die unwirksame Bestimmung ist so umzudeuten, dass der mit ihr beabsichtigte wirtschaftliche Zweck möglichst erreicht wird.</w:t>
      </w:r>
    </w:p>
    <w:p w14:paraId="3E004CBC" w14:textId="77777777" w:rsidR="005F1074" w:rsidRPr="003B4715" w:rsidRDefault="005F1074">
      <w:pPr>
        <w:spacing w:after="8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5F1074" w:rsidRPr="003B4715" w14:paraId="352BFBCC" w14:textId="77777777">
        <w:tblPrEx>
          <w:tblCellMar>
            <w:top w:w="0" w:type="dxa"/>
            <w:bottom w:w="0" w:type="dxa"/>
          </w:tblCellMar>
        </w:tblPrEx>
        <w:tc>
          <w:tcPr>
            <w:tcW w:w="0" w:type="auto"/>
            <w:tcBorders>
              <w:top w:val="single" w:sz="6" w:space="0" w:color="E1DBD4"/>
              <w:left w:val="single" w:sz="6" w:space="0" w:color="E1DBD4"/>
              <w:bottom w:val="single" w:sz="6" w:space="0" w:color="E1DBD4"/>
              <w:right w:val="single" w:sz="6" w:space="0" w:color="E1DBD4"/>
            </w:tcBorders>
            <w:shd w:val="clear" w:color="auto" w:fill="F7F3EE"/>
            <w:tcMar>
              <w:top w:w="140" w:type="dxa"/>
              <w:left w:w="180" w:type="dxa"/>
              <w:bottom w:w="140" w:type="dxa"/>
              <w:right w:w="180" w:type="dxa"/>
            </w:tcMar>
          </w:tcPr>
          <w:p w14:paraId="2C8CAB6E" w14:textId="58513F48" w:rsidR="005F1074" w:rsidRPr="003B4715" w:rsidRDefault="00000000">
            <w:pPr>
              <w:spacing w:after="60"/>
              <w:rPr>
                <w:lang w:val="de-DE"/>
              </w:rPr>
            </w:pPr>
            <w:r w:rsidRPr="003B4715">
              <w:rPr>
                <w:rFonts w:ascii="Poppins" w:eastAsia="Poppins" w:hAnsi="Poppins" w:cs="Poppins"/>
                <w:b/>
                <w:bCs/>
                <w:color w:val="7B1013"/>
                <w:lang w:val="de-DE"/>
              </w:rPr>
              <w:lastRenderedPageBreak/>
              <w:t>Warum ist das wichtig?</w:t>
            </w:r>
          </w:p>
          <w:p w14:paraId="2B995A5A" w14:textId="77777777" w:rsidR="005F1074" w:rsidRPr="003B4715" w:rsidRDefault="00000000">
            <w:pPr>
              <w:jc w:val="both"/>
              <w:rPr>
                <w:lang w:val="de-DE"/>
              </w:rPr>
            </w:pPr>
            <w:r w:rsidRPr="003B4715">
              <w:rPr>
                <w:rFonts w:ascii="Poppins" w:eastAsia="Poppins" w:hAnsi="Poppins" w:cs="Poppins"/>
                <w:i/>
                <w:iCs/>
                <w:color w:val="28221E"/>
                <w:lang w:val="de-DE"/>
              </w:rPr>
              <w:t>Diese „Kleingedrucktes“-Klauseln regeln, wie der Vertrag später geändert werden kann (nur schriftlich) und was passiert, falls eine einzelne Regelung unwirksam sein sollte (der Rest bleibt gültig). Beides ist in der Praxis sehr verbreitet, weil es spätere Streitigkeiten über mündliche Absprachen vermeidet.</w:t>
            </w:r>
          </w:p>
        </w:tc>
      </w:tr>
    </w:tbl>
    <w:p w14:paraId="7367976D" w14:textId="77777777" w:rsidR="005F1074" w:rsidRPr="003B4715" w:rsidRDefault="005F1074">
      <w:pPr>
        <w:spacing w:after="200"/>
        <w:rPr>
          <w:lang w:val="de-DE"/>
        </w:rPr>
      </w:pPr>
    </w:p>
    <w:p w14:paraId="68291406" w14:textId="77777777" w:rsidR="005F1074" w:rsidRPr="003B4715" w:rsidRDefault="00000000">
      <w:pPr>
        <w:rPr>
          <w:lang w:val="de-DE"/>
        </w:rPr>
      </w:pPr>
      <w:r w:rsidRPr="003B4715">
        <w:rPr>
          <w:lang w:val="de-DE"/>
        </w:rPr>
        <w:br w:type="page"/>
      </w:r>
    </w:p>
    <w:p w14:paraId="0AF22BE2" w14:textId="77777777" w:rsidR="005F1074" w:rsidRPr="003B4715" w:rsidRDefault="00000000">
      <w:pPr>
        <w:pBdr>
          <w:bottom w:val="single" w:sz="6" w:space="4" w:color="E1DBD4"/>
        </w:pBdr>
        <w:spacing w:before="340" w:after="120"/>
        <w:rPr>
          <w:lang w:val="de-DE"/>
        </w:rPr>
      </w:pPr>
      <w:r w:rsidRPr="003B4715">
        <w:rPr>
          <w:rFonts w:ascii="Poppins" w:eastAsia="Poppins" w:hAnsi="Poppins" w:cs="Poppins"/>
          <w:b/>
          <w:bCs/>
          <w:color w:val="7B1013"/>
          <w:sz w:val="26"/>
          <w:szCs w:val="26"/>
          <w:lang w:val="de-DE"/>
        </w:rPr>
        <w:lastRenderedPageBreak/>
        <w:t>Unterschriften</w:t>
      </w:r>
    </w:p>
    <w:p w14:paraId="078A40B1" w14:textId="77777777" w:rsidR="005F1074" w:rsidRPr="003B4715" w:rsidRDefault="00000000">
      <w:pPr>
        <w:spacing w:after="140"/>
        <w:jc w:val="both"/>
        <w:rPr>
          <w:lang w:val="de-DE"/>
        </w:rPr>
      </w:pPr>
      <w:r w:rsidRPr="003B4715">
        <w:rPr>
          <w:rFonts w:ascii="Poppins" w:eastAsia="Poppins" w:hAnsi="Poppins" w:cs="Poppins"/>
          <w:color w:val="28221E"/>
          <w:sz w:val="21"/>
          <w:szCs w:val="21"/>
          <w:lang w:val="de-DE"/>
        </w:rPr>
        <w:t xml:space="preserve">Ort, Datum: </w:t>
      </w:r>
      <w:r w:rsidRPr="003B4715">
        <w:rPr>
          <w:rFonts w:ascii="Poppins" w:eastAsia="Poppins" w:hAnsi="Poppins" w:cs="Poppins"/>
          <w:b/>
          <w:bCs/>
          <w:color w:val="B01B1B"/>
          <w:sz w:val="21"/>
          <w:szCs w:val="21"/>
          <w:lang w:val="de-DE"/>
        </w:rPr>
        <w:t>[Ort, Datum]</w:t>
      </w:r>
    </w:p>
    <w:p w14:paraId="5DE073A2" w14:textId="77777777" w:rsidR="005F1074" w:rsidRPr="003B4715" w:rsidRDefault="005F1074">
      <w:pPr>
        <w:spacing w:after="400"/>
        <w:rPr>
          <w:lang w:val="de-DE"/>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53"/>
        <w:gridCol w:w="4853"/>
      </w:tblGrid>
      <w:tr w:rsidR="005F1074" w14:paraId="0A69300A" w14:textId="77777777">
        <w:tblPrEx>
          <w:tblCellMar>
            <w:top w:w="0" w:type="dxa"/>
            <w:bottom w:w="0" w:type="dxa"/>
          </w:tblCellMar>
        </w:tblPrEx>
        <w:tc>
          <w:tcPr>
            <w:tcW w:w="4800" w:type="dxa"/>
          </w:tcPr>
          <w:p w14:paraId="06C0E393" w14:textId="77777777" w:rsidR="005F1074" w:rsidRDefault="00000000">
            <w:r>
              <w:rPr>
                <w:rFonts w:ascii="Poppins" w:eastAsia="Poppins" w:hAnsi="Poppins" w:cs="Poppins"/>
                <w:sz w:val="21"/>
                <w:szCs w:val="21"/>
              </w:rPr>
              <w:t>_______________________________</w:t>
            </w:r>
          </w:p>
          <w:p w14:paraId="30E72A16" w14:textId="77777777" w:rsidR="005F1074" w:rsidRDefault="00000000">
            <w:pPr>
              <w:spacing w:before="60"/>
            </w:pPr>
            <w:proofErr w:type="spellStart"/>
            <w:r>
              <w:rPr>
                <w:rFonts w:ascii="Poppins" w:eastAsia="Poppins" w:hAnsi="Poppins" w:cs="Poppins"/>
                <w:b/>
                <w:bCs/>
                <w:sz w:val="21"/>
                <w:szCs w:val="21"/>
              </w:rPr>
              <w:t>Arbeitgeber</w:t>
            </w:r>
            <w:proofErr w:type="spellEnd"/>
          </w:p>
          <w:p w14:paraId="2F4663DD" w14:textId="77777777" w:rsidR="005F1074" w:rsidRDefault="00000000">
            <w:r>
              <w:rPr>
                <w:rFonts w:ascii="Poppins" w:eastAsia="Poppins" w:hAnsi="Poppins" w:cs="Poppins"/>
                <w:i/>
                <w:iCs/>
                <w:color w:val="B01B1B"/>
              </w:rPr>
              <w:t xml:space="preserve">[Name, </w:t>
            </w:r>
            <w:proofErr w:type="spellStart"/>
            <w:r>
              <w:rPr>
                <w:rFonts w:ascii="Poppins" w:eastAsia="Poppins" w:hAnsi="Poppins" w:cs="Poppins"/>
                <w:i/>
                <w:iCs/>
                <w:color w:val="B01B1B"/>
              </w:rPr>
              <w:t>Funktion</w:t>
            </w:r>
            <w:proofErr w:type="spellEnd"/>
            <w:r>
              <w:rPr>
                <w:rFonts w:ascii="Poppins" w:eastAsia="Poppins" w:hAnsi="Poppins" w:cs="Poppins"/>
                <w:i/>
                <w:iCs/>
                <w:color w:val="B01B1B"/>
              </w:rPr>
              <w:t>]</w:t>
            </w:r>
          </w:p>
        </w:tc>
        <w:tc>
          <w:tcPr>
            <w:tcW w:w="4800" w:type="dxa"/>
          </w:tcPr>
          <w:p w14:paraId="3A71CEE8" w14:textId="77777777" w:rsidR="005F1074" w:rsidRDefault="00000000">
            <w:r>
              <w:rPr>
                <w:rFonts w:ascii="Poppins" w:eastAsia="Poppins" w:hAnsi="Poppins" w:cs="Poppins"/>
                <w:sz w:val="21"/>
                <w:szCs w:val="21"/>
              </w:rPr>
              <w:t>_______________________________</w:t>
            </w:r>
          </w:p>
          <w:p w14:paraId="3B1B67E8" w14:textId="77777777" w:rsidR="005F1074" w:rsidRDefault="00000000">
            <w:pPr>
              <w:spacing w:before="60"/>
            </w:pPr>
            <w:proofErr w:type="spellStart"/>
            <w:r>
              <w:rPr>
                <w:rFonts w:ascii="Poppins" w:eastAsia="Poppins" w:hAnsi="Poppins" w:cs="Poppins"/>
                <w:b/>
                <w:bCs/>
                <w:sz w:val="21"/>
                <w:szCs w:val="21"/>
              </w:rPr>
              <w:t>Arbeitnehmer</w:t>
            </w:r>
            <w:proofErr w:type="spellEnd"/>
          </w:p>
          <w:p w14:paraId="256E1004" w14:textId="77777777" w:rsidR="005F1074" w:rsidRDefault="00000000">
            <w:r>
              <w:rPr>
                <w:rFonts w:ascii="Poppins" w:eastAsia="Poppins" w:hAnsi="Poppins" w:cs="Poppins"/>
                <w:i/>
                <w:iCs/>
                <w:color w:val="B01B1B"/>
              </w:rPr>
              <w:t>[Name]</w:t>
            </w:r>
          </w:p>
        </w:tc>
      </w:tr>
    </w:tbl>
    <w:p w14:paraId="0064A729" w14:textId="77777777" w:rsidR="005F1074" w:rsidRDefault="005F1074">
      <w:pPr>
        <w:spacing w:after="4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80"/>
      </w:tblGrid>
      <w:tr w:rsidR="005F1074" w:rsidRPr="003B4715" w14:paraId="69B311A6" w14:textId="77777777">
        <w:tblPrEx>
          <w:tblCellMar>
            <w:top w:w="0" w:type="dxa"/>
            <w:bottom w:w="0" w:type="dxa"/>
          </w:tblCellMar>
        </w:tblPrEx>
        <w:tc>
          <w:tcPr>
            <w:tcW w:w="0" w:type="auto"/>
            <w:tcBorders>
              <w:top w:val="single" w:sz="10" w:space="0" w:color="E0A9A9"/>
              <w:left w:val="single" w:sz="10" w:space="0" w:color="E0A9A9"/>
              <w:bottom w:val="single" w:sz="10" w:space="0" w:color="E0A9A9"/>
              <w:right w:val="single" w:sz="10" w:space="0" w:color="E0A9A9"/>
            </w:tcBorders>
            <w:shd w:val="clear" w:color="auto" w:fill="F7E8E6"/>
            <w:tcMar>
              <w:top w:w="180" w:type="dxa"/>
              <w:left w:w="220" w:type="dxa"/>
              <w:bottom w:w="180" w:type="dxa"/>
              <w:right w:w="220" w:type="dxa"/>
            </w:tcMar>
          </w:tcPr>
          <w:p w14:paraId="306D73DD" w14:textId="77777777" w:rsidR="005F1074" w:rsidRPr="003B4715" w:rsidRDefault="00000000">
            <w:pPr>
              <w:spacing w:after="100"/>
              <w:rPr>
                <w:lang w:val="de-DE"/>
              </w:rPr>
            </w:pPr>
            <w:r w:rsidRPr="003B4715">
              <w:rPr>
                <w:rFonts w:ascii="Poppins" w:eastAsia="Poppins" w:hAnsi="Poppins" w:cs="Poppins"/>
                <w:b/>
                <w:bCs/>
                <w:color w:val="B01B1B"/>
                <w:sz w:val="22"/>
                <w:szCs w:val="22"/>
                <w:lang w:val="de-DE"/>
              </w:rPr>
              <w:t>Nochmals zur Erinnerung</w:t>
            </w:r>
          </w:p>
          <w:p w14:paraId="72029FF4" w14:textId="77777777" w:rsidR="005F1074" w:rsidRPr="003B4715" w:rsidRDefault="00000000">
            <w:pPr>
              <w:spacing w:after="100"/>
              <w:jc w:val="both"/>
              <w:rPr>
                <w:lang w:val="de-DE"/>
              </w:rPr>
            </w:pPr>
            <w:r w:rsidRPr="003B4715">
              <w:rPr>
                <w:rFonts w:ascii="Poppins" w:eastAsia="Poppins" w:hAnsi="Poppins" w:cs="Poppins"/>
                <w:lang w:val="de-DE"/>
              </w:rPr>
              <w:t xml:space="preserve">Diese Vorlage ist ein Muster und dient ausschließlich als Ausgangspunkt und Orientierungshilfe. Sie stellt keine Rechtsberatung dar und begründet kein Mandatsverhältnis mit Schmidt </w:t>
            </w:r>
            <w:proofErr w:type="spellStart"/>
            <w:r w:rsidRPr="003B4715">
              <w:rPr>
                <w:rFonts w:ascii="Poppins" w:eastAsia="Poppins" w:hAnsi="Poppins" w:cs="Poppins"/>
                <w:lang w:val="de-DE"/>
              </w:rPr>
              <w:t>partners</w:t>
            </w:r>
            <w:proofErr w:type="spellEnd"/>
            <w:r w:rsidRPr="003B4715">
              <w:rPr>
                <w:rFonts w:ascii="Poppins" w:eastAsia="Poppins" w:hAnsi="Poppins" w:cs="Poppins"/>
                <w:lang w:val="de-DE"/>
              </w:rPr>
              <w:t xml:space="preserve"> Rechtsanwalts-GmbH. Gesetzeslage und Rechtsprechung ändern sich – prüfen Sie einzelne Klauseln daher stets auf Aktualität, bevor Sie sie verwenden.</w:t>
            </w:r>
          </w:p>
          <w:p w14:paraId="69BF447B" w14:textId="77777777" w:rsidR="005F1074" w:rsidRPr="003B4715" w:rsidRDefault="00000000">
            <w:pPr>
              <w:jc w:val="both"/>
              <w:rPr>
                <w:lang w:val="de-DE"/>
              </w:rPr>
            </w:pPr>
            <w:r w:rsidRPr="003B4715">
              <w:rPr>
                <w:rFonts w:ascii="Poppins" w:eastAsia="Poppins" w:hAnsi="Poppins" w:cs="Poppins"/>
                <w:lang w:val="de-DE"/>
              </w:rPr>
              <w:t xml:space="preserve">Sie möchten einen individuell zugeschnittenen Arbeitsvertrag, haben Fragen zu einzelnen Klauseln oder wünschen eine persönliche Beratung? Kontaktieren Sie unser Team über </w:t>
            </w:r>
            <w:r w:rsidRPr="003B4715">
              <w:rPr>
                <w:rFonts w:ascii="Poppins" w:eastAsia="Poppins" w:hAnsi="Poppins" w:cs="Poppins"/>
                <w:b/>
                <w:bCs/>
                <w:color w:val="7B1013"/>
                <w:lang w:val="de-DE"/>
              </w:rPr>
              <w:t>schmidt-partners.com</w:t>
            </w:r>
            <w:r w:rsidRPr="003B4715">
              <w:rPr>
                <w:rFonts w:ascii="Poppins" w:eastAsia="Poppins" w:hAnsi="Poppins" w:cs="Poppins"/>
                <w:lang w:val="de-DE"/>
              </w:rPr>
              <w:t xml:space="preserve"> – wir helfen gerne weiter.</w:t>
            </w:r>
          </w:p>
        </w:tc>
      </w:tr>
    </w:tbl>
    <w:p w14:paraId="15B90DE2" w14:textId="77777777" w:rsidR="00711A15" w:rsidRPr="003B4715" w:rsidRDefault="00711A15">
      <w:pPr>
        <w:rPr>
          <w:lang w:val="de-DE"/>
        </w:rPr>
      </w:pPr>
    </w:p>
    <w:sectPr w:rsidR="00711A15" w:rsidRPr="003B4715">
      <w:headerReference w:type="default" r:id="rId7"/>
      <w:footerReference w:type="default" r:id="rId8"/>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9CE9EF" w14:textId="77777777" w:rsidR="00711A15" w:rsidRDefault="00711A15">
      <w:r>
        <w:separator/>
      </w:r>
    </w:p>
  </w:endnote>
  <w:endnote w:type="continuationSeparator" w:id="0">
    <w:p w14:paraId="0B055EE1" w14:textId="77777777" w:rsidR="00711A15" w:rsidRDefault="0071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D96BB1" w14:textId="77777777" w:rsidR="005F1074" w:rsidRPr="003B4715" w:rsidRDefault="00000000">
    <w:pPr>
      <w:jc w:val="center"/>
      <w:rPr>
        <w:lang w:val="de-DE"/>
      </w:rPr>
    </w:pPr>
    <w:r w:rsidRPr="003B4715">
      <w:rPr>
        <w:rFonts w:ascii="Poppins" w:eastAsia="Poppins" w:hAnsi="Poppins" w:cs="Poppins"/>
        <w:i/>
        <w:iCs/>
        <w:color w:val="8C8580"/>
        <w:sz w:val="16"/>
        <w:szCs w:val="16"/>
        <w:lang w:val="de-DE"/>
      </w:rPr>
      <w:t xml:space="preserve">Muster / unverbindlich – </w:t>
    </w:r>
    <w:proofErr w:type="gramStart"/>
    <w:r w:rsidRPr="003B4715">
      <w:rPr>
        <w:rFonts w:ascii="Poppins" w:eastAsia="Poppins" w:hAnsi="Poppins" w:cs="Poppins"/>
        <w:i/>
        <w:iCs/>
        <w:color w:val="8C8580"/>
        <w:sz w:val="16"/>
        <w:szCs w:val="16"/>
        <w:lang w:val="de-DE"/>
      </w:rPr>
      <w:t>schmidt-partners.com  ·</w:t>
    </w:r>
    <w:proofErr w:type="gramEnd"/>
    <w:r w:rsidRPr="003B4715">
      <w:rPr>
        <w:rFonts w:ascii="Poppins" w:eastAsia="Poppins" w:hAnsi="Poppins" w:cs="Poppins"/>
        <w:i/>
        <w:iCs/>
        <w:color w:val="8C8580"/>
        <w:sz w:val="16"/>
        <w:szCs w:val="16"/>
        <w:lang w:val="de-DE"/>
      </w:rPr>
      <w:t xml:space="preserve">  Seite </w:t>
    </w:r>
    <w:r>
      <w:rPr>
        <w:rFonts w:ascii="Poppins" w:eastAsia="Poppins" w:hAnsi="Poppins" w:cs="Poppins"/>
        <w:i/>
        <w:iCs/>
        <w:color w:val="8C8580"/>
        <w:sz w:val="16"/>
        <w:szCs w:val="16"/>
      </w:rPr>
      <w:fldChar w:fldCharType="begin"/>
    </w:r>
    <w:r w:rsidRPr="003B4715">
      <w:rPr>
        <w:rFonts w:ascii="Poppins" w:eastAsia="Poppins" w:hAnsi="Poppins" w:cs="Poppins"/>
        <w:i/>
        <w:iCs/>
        <w:color w:val="8C8580"/>
        <w:sz w:val="16"/>
        <w:szCs w:val="16"/>
        <w:lang w:val="de-DE"/>
      </w:rPr>
      <w:instrText>PAGE</w:instrText>
    </w:r>
    <w:r>
      <w:rPr>
        <w:rFonts w:ascii="Poppins" w:eastAsia="Poppins" w:hAnsi="Poppins" w:cs="Poppins"/>
        <w:i/>
        <w:iCs/>
        <w:color w:val="8C8580"/>
        <w:sz w:val="16"/>
        <w:szCs w:val="16"/>
      </w:rPr>
      <w:fldChar w:fldCharType="separate"/>
    </w:r>
    <w:r w:rsidR="003B4715" w:rsidRPr="003B4715">
      <w:rPr>
        <w:rFonts w:ascii="Poppins" w:eastAsia="Poppins" w:hAnsi="Poppins" w:cs="Poppins"/>
        <w:i/>
        <w:iCs/>
        <w:noProof/>
        <w:color w:val="8C8580"/>
        <w:sz w:val="16"/>
        <w:szCs w:val="16"/>
        <w:lang w:val="de-DE"/>
      </w:rPr>
      <w:t>1</w:t>
    </w:r>
    <w:r>
      <w:rPr>
        <w:rFonts w:ascii="Poppins" w:eastAsia="Poppins" w:hAnsi="Poppins" w:cs="Poppins"/>
        <w:i/>
        <w:iCs/>
        <w:color w:val="8C8580"/>
        <w:sz w:val="16"/>
        <w:szCs w:val="16"/>
      </w:rPr>
      <w:fldChar w:fldCharType="end"/>
    </w:r>
    <w:r w:rsidRPr="003B4715">
      <w:rPr>
        <w:rFonts w:ascii="Poppins" w:eastAsia="Poppins" w:hAnsi="Poppins" w:cs="Poppins"/>
        <w:i/>
        <w:iCs/>
        <w:color w:val="8C8580"/>
        <w:sz w:val="16"/>
        <w:szCs w:val="16"/>
        <w:lang w:val="de-DE"/>
      </w:rPr>
      <w:t xml:space="preserve"> / </w:t>
    </w:r>
    <w:r>
      <w:rPr>
        <w:rFonts w:ascii="Poppins" w:eastAsia="Poppins" w:hAnsi="Poppins" w:cs="Poppins"/>
        <w:i/>
        <w:iCs/>
        <w:color w:val="8C8580"/>
        <w:sz w:val="16"/>
        <w:szCs w:val="16"/>
      </w:rPr>
      <w:fldChar w:fldCharType="begin"/>
    </w:r>
    <w:r w:rsidRPr="003B4715">
      <w:rPr>
        <w:rFonts w:ascii="Poppins" w:eastAsia="Poppins" w:hAnsi="Poppins" w:cs="Poppins"/>
        <w:i/>
        <w:iCs/>
        <w:color w:val="8C8580"/>
        <w:sz w:val="16"/>
        <w:szCs w:val="16"/>
        <w:lang w:val="de-DE"/>
      </w:rPr>
      <w:instrText>NUMPAGES</w:instrText>
    </w:r>
    <w:r>
      <w:rPr>
        <w:rFonts w:ascii="Poppins" w:eastAsia="Poppins" w:hAnsi="Poppins" w:cs="Poppins"/>
        <w:i/>
        <w:iCs/>
        <w:color w:val="8C8580"/>
        <w:sz w:val="16"/>
        <w:szCs w:val="16"/>
      </w:rPr>
      <w:fldChar w:fldCharType="separate"/>
    </w:r>
    <w:r w:rsidR="003B4715" w:rsidRPr="003B4715">
      <w:rPr>
        <w:rFonts w:ascii="Poppins" w:eastAsia="Poppins" w:hAnsi="Poppins" w:cs="Poppins"/>
        <w:i/>
        <w:iCs/>
        <w:noProof/>
        <w:color w:val="8C8580"/>
        <w:sz w:val="16"/>
        <w:szCs w:val="16"/>
        <w:lang w:val="de-DE"/>
      </w:rPr>
      <w:t>2</w:t>
    </w:r>
    <w:r>
      <w:rPr>
        <w:rFonts w:ascii="Poppins" w:eastAsia="Poppins" w:hAnsi="Poppins" w:cs="Poppins"/>
        <w:i/>
        <w:iCs/>
        <w:color w:val="8C85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10FA03" w14:textId="77777777" w:rsidR="00711A15" w:rsidRDefault="00711A15">
      <w:r>
        <w:separator/>
      </w:r>
    </w:p>
  </w:footnote>
  <w:footnote w:type="continuationSeparator" w:id="0">
    <w:p w14:paraId="672D4B5F" w14:textId="77777777" w:rsidR="00711A15" w:rsidRDefault="00711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8CF831" w14:textId="77777777" w:rsidR="005F1074" w:rsidRDefault="00000000">
    <w:pPr>
      <w:jc w:val="right"/>
    </w:pPr>
    <w:r>
      <w:rPr>
        <w:rFonts w:ascii="Poppins" w:eastAsia="Poppins" w:hAnsi="Poppins" w:cs="Poppins"/>
        <w:i/>
        <w:iCs/>
        <w:color w:val="8C8580"/>
        <w:sz w:val="16"/>
        <w:szCs w:val="16"/>
      </w:rPr>
      <w:t>Muster-</w:t>
    </w:r>
    <w:proofErr w:type="spellStart"/>
    <w:r>
      <w:rPr>
        <w:rFonts w:ascii="Poppins" w:eastAsia="Poppins" w:hAnsi="Poppins" w:cs="Poppins"/>
        <w:i/>
        <w:iCs/>
        <w:color w:val="8C8580"/>
        <w:sz w:val="16"/>
        <w:szCs w:val="16"/>
      </w:rPr>
      <w:t>Arbeitsvertrag</w:t>
    </w:r>
    <w:proofErr w:type="spellEnd"/>
    <w:r>
      <w:rPr>
        <w:rFonts w:ascii="Poppins" w:eastAsia="Poppins" w:hAnsi="Poppins" w:cs="Poppins"/>
        <w:i/>
        <w:iCs/>
        <w:color w:val="8C8580"/>
        <w:sz w:val="16"/>
        <w:szCs w:val="16"/>
      </w:rPr>
      <w:t xml:space="preserve"> – Schmidt partners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800222"/>
    <w:multiLevelType w:val="hybridMultilevel"/>
    <w:tmpl w:val="F20C7962"/>
    <w:lvl w:ilvl="0" w:tplc="39305BBA">
      <w:start w:val="1"/>
      <w:numFmt w:val="bullet"/>
      <w:lvlText w:val="●"/>
      <w:lvlJc w:val="left"/>
      <w:pPr>
        <w:ind w:left="720" w:hanging="360"/>
      </w:pPr>
    </w:lvl>
    <w:lvl w:ilvl="1" w:tplc="71B22204">
      <w:start w:val="1"/>
      <w:numFmt w:val="bullet"/>
      <w:lvlText w:val="○"/>
      <w:lvlJc w:val="left"/>
      <w:pPr>
        <w:ind w:left="1440" w:hanging="360"/>
      </w:pPr>
    </w:lvl>
    <w:lvl w:ilvl="2" w:tplc="5B00A6CE">
      <w:start w:val="1"/>
      <w:numFmt w:val="bullet"/>
      <w:lvlText w:val="■"/>
      <w:lvlJc w:val="left"/>
      <w:pPr>
        <w:ind w:left="2160" w:hanging="360"/>
      </w:pPr>
    </w:lvl>
    <w:lvl w:ilvl="3" w:tplc="B69892E0">
      <w:start w:val="1"/>
      <w:numFmt w:val="bullet"/>
      <w:lvlText w:val="●"/>
      <w:lvlJc w:val="left"/>
      <w:pPr>
        <w:ind w:left="2880" w:hanging="360"/>
      </w:pPr>
    </w:lvl>
    <w:lvl w:ilvl="4" w:tplc="2EBAF0C8">
      <w:start w:val="1"/>
      <w:numFmt w:val="bullet"/>
      <w:lvlText w:val="○"/>
      <w:lvlJc w:val="left"/>
      <w:pPr>
        <w:ind w:left="3600" w:hanging="360"/>
      </w:pPr>
    </w:lvl>
    <w:lvl w:ilvl="5" w:tplc="C2526E86">
      <w:start w:val="1"/>
      <w:numFmt w:val="bullet"/>
      <w:lvlText w:val="■"/>
      <w:lvlJc w:val="left"/>
      <w:pPr>
        <w:ind w:left="4320" w:hanging="360"/>
      </w:pPr>
    </w:lvl>
    <w:lvl w:ilvl="6" w:tplc="73089770">
      <w:start w:val="1"/>
      <w:numFmt w:val="bullet"/>
      <w:lvlText w:val="●"/>
      <w:lvlJc w:val="left"/>
      <w:pPr>
        <w:ind w:left="5040" w:hanging="360"/>
      </w:pPr>
    </w:lvl>
    <w:lvl w:ilvl="7" w:tplc="51685CF0">
      <w:start w:val="1"/>
      <w:numFmt w:val="bullet"/>
      <w:lvlText w:val="●"/>
      <w:lvlJc w:val="left"/>
      <w:pPr>
        <w:ind w:left="5760" w:hanging="360"/>
      </w:pPr>
    </w:lvl>
    <w:lvl w:ilvl="8" w:tplc="CFF0E004">
      <w:start w:val="1"/>
      <w:numFmt w:val="bullet"/>
      <w:lvlText w:val="●"/>
      <w:lvlJc w:val="left"/>
      <w:pPr>
        <w:ind w:left="6480" w:hanging="360"/>
      </w:pPr>
    </w:lvl>
  </w:abstractNum>
  <w:num w:numId="1" w16cid:durableId="69438183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074"/>
    <w:rsid w:val="000F1246"/>
    <w:rsid w:val="003B4715"/>
    <w:rsid w:val="005F1074"/>
    <w:rsid w:val="00711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1E532C"/>
  <w15:docId w15:val="{A28A3030-9BEE-994F-98CB-A74D463E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B4715"/>
    <w:pPr>
      <w:tabs>
        <w:tab w:val="center" w:pos="4680"/>
        <w:tab w:val="right" w:pos="9360"/>
      </w:tabs>
    </w:pPr>
  </w:style>
  <w:style w:type="character" w:customStyle="1" w:styleId="HeaderChar">
    <w:name w:val="Header Char"/>
    <w:basedOn w:val="DefaultParagraphFont"/>
    <w:link w:val="Header"/>
    <w:uiPriority w:val="99"/>
    <w:rsid w:val="003B4715"/>
  </w:style>
  <w:style w:type="paragraph" w:styleId="Footer">
    <w:name w:val="footer"/>
    <w:basedOn w:val="Normal"/>
    <w:link w:val="FooterChar"/>
    <w:uiPriority w:val="99"/>
    <w:unhideWhenUsed/>
    <w:rsid w:val="003B4715"/>
    <w:pPr>
      <w:tabs>
        <w:tab w:val="center" w:pos="4680"/>
        <w:tab w:val="right" w:pos="9360"/>
      </w:tabs>
    </w:pPr>
  </w:style>
  <w:style w:type="character" w:customStyle="1" w:styleId="FooterChar">
    <w:name w:val="Footer Char"/>
    <w:basedOn w:val="DefaultParagraphFont"/>
    <w:link w:val="Footer"/>
    <w:uiPriority w:val="99"/>
    <w:rsid w:val="003B4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3133</Words>
  <Characters>21400</Characters>
  <Application>Microsoft Office Word</Application>
  <DocSecurity>0</DocSecurity>
  <Lines>396</Lines>
  <Paragraphs>160</Paragraphs>
  <ScaleCrop>false</ScaleCrop>
  <Company/>
  <LinksUpToDate>false</LinksUpToDate>
  <CharactersWithSpaces>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Millena Schmidt</cp:lastModifiedBy>
  <cp:revision>2</cp:revision>
  <dcterms:created xsi:type="dcterms:W3CDTF">2026-07-23T16:42:00Z</dcterms:created>
  <dcterms:modified xsi:type="dcterms:W3CDTF">2026-07-23T16:42:00Z</dcterms:modified>
</cp:coreProperties>
</file>